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718" w:rsidRPr="00502CC4" w:rsidRDefault="00AB6718" w:rsidP="00AB6718">
      <w:pPr>
        <w:pStyle w:val="14pt-head-Times"/>
      </w:pPr>
      <w:bookmarkStart w:id="0" w:name="_GoBack"/>
      <w:bookmarkEnd w:id="0"/>
      <w:r w:rsidRPr="00502CC4">
        <w:t xml:space="preserve">„Stärkenturm bauen“ </w:t>
      </w:r>
    </w:p>
    <w:tbl>
      <w:tblPr>
        <w:tblStyle w:val="Tabellenraster"/>
        <w:tblW w:w="9356" w:type="dxa"/>
        <w:tblLayout w:type="fixed"/>
        <w:tblCellMar>
          <w:top w:w="57" w:type="dxa"/>
        </w:tblCellMar>
        <w:tblLook w:val="00A0" w:firstRow="1" w:lastRow="0" w:firstColumn="1" w:lastColumn="0" w:noHBand="0" w:noVBand="0"/>
      </w:tblPr>
      <w:tblGrid>
        <w:gridCol w:w="1951"/>
        <w:gridCol w:w="7405"/>
      </w:tblGrid>
      <w:tr w:rsidR="00AB6718" w:rsidRPr="00985002" w:rsidTr="00487F2F">
        <w:tc>
          <w:tcPr>
            <w:tcW w:w="1951" w:type="dxa"/>
            <w:shd w:val="clear" w:color="auto" w:fill="D9D9D9" w:themeFill="background1" w:themeFillShade="D9"/>
            <w:tcMar>
              <w:top w:w="85" w:type="dxa"/>
              <w:bottom w:w="85" w:type="dxa"/>
            </w:tcMar>
          </w:tcPr>
          <w:p w:rsidR="00AB6718" w:rsidRPr="00985002" w:rsidRDefault="00AB6718" w:rsidP="00487F2F">
            <w:pPr>
              <w:pStyle w:val="Tabelle-9pt-Kapital-fett"/>
            </w:pPr>
            <w:r w:rsidRPr="00985002">
              <w:t>Überfachliche Kompetenzen</w:t>
            </w:r>
          </w:p>
        </w:tc>
        <w:tc>
          <w:tcPr>
            <w:tcW w:w="7405" w:type="dxa"/>
            <w:tcMar>
              <w:top w:w="85" w:type="dxa"/>
              <w:bottom w:w="85" w:type="dxa"/>
            </w:tcMar>
          </w:tcPr>
          <w:p w:rsidR="00AB6718" w:rsidRPr="00817A91" w:rsidRDefault="00AB6718" w:rsidP="00487F2F">
            <w:pPr>
              <w:pStyle w:val="11pt-FlietextTimeslinksbndig"/>
            </w:pPr>
            <w:r w:rsidRPr="00817A91">
              <w:t>Teamfähigkeit, Problemlösefähigkeit</w:t>
            </w:r>
          </w:p>
        </w:tc>
      </w:tr>
      <w:tr w:rsidR="00AB6718" w:rsidRPr="00985002" w:rsidTr="00487F2F">
        <w:tc>
          <w:tcPr>
            <w:tcW w:w="1951" w:type="dxa"/>
            <w:shd w:val="clear" w:color="auto" w:fill="D9D9D9" w:themeFill="background1" w:themeFillShade="D9"/>
            <w:tcMar>
              <w:top w:w="85" w:type="dxa"/>
              <w:bottom w:w="85" w:type="dxa"/>
            </w:tcMar>
          </w:tcPr>
          <w:p w:rsidR="00AB6718" w:rsidRPr="00985002" w:rsidRDefault="00AB6718" w:rsidP="00487F2F">
            <w:pPr>
              <w:pStyle w:val="Tabelle-9pt-Kapital-fett"/>
            </w:pPr>
            <w:r w:rsidRPr="00985002">
              <w:t>Ziele</w:t>
            </w:r>
          </w:p>
        </w:tc>
        <w:tc>
          <w:tcPr>
            <w:tcW w:w="7405" w:type="dxa"/>
            <w:tcMar>
              <w:top w:w="85" w:type="dxa"/>
              <w:bottom w:w="85" w:type="dxa"/>
            </w:tcMar>
          </w:tcPr>
          <w:p w:rsidR="00AB6718" w:rsidRPr="00985002" w:rsidRDefault="00AB6718" w:rsidP="00487F2F">
            <w:pPr>
              <w:pStyle w:val="Listenabsatz"/>
            </w:pPr>
            <w:r w:rsidRPr="00985002">
              <w:t>Die Schülerinnen und Schüler lernen im Team nonverbal zu kooperieren und eine gemeinsame Lösung für eine gestellte Aufgabe zu finden.</w:t>
            </w:r>
          </w:p>
          <w:p w:rsidR="00AB6718" w:rsidRPr="00985002" w:rsidRDefault="00AB6718" w:rsidP="00487F2F">
            <w:pPr>
              <w:pStyle w:val="Listenabsatz"/>
            </w:pPr>
            <w:r w:rsidRPr="00985002">
              <w:t>Der fertige Stärkenturm ist ein schönes Beispiel für die verschiedenen Stärken der einzelnen Schülerinnen und Schüler, die im Zusammenspiel in der Klasse zu etwas Neuem werden, was größer als das Einzelne ist.</w:t>
            </w:r>
          </w:p>
        </w:tc>
      </w:tr>
      <w:tr w:rsidR="00AB6718" w:rsidRPr="00985002" w:rsidTr="00487F2F">
        <w:tc>
          <w:tcPr>
            <w:tcW w:w="1951" w:type="dxa"/>
            <w:shd w:val="clear" w:color="auto" w:fill="D9D9D9" w:themeFill="background1" w:themeFillShade="D9"/>
            <w:tcMar>
              <w:top w:w="85" w:type="dxa"/>
              <w:bottom w:w="85" w:type="dxa"/>
            </w:tcMar>
          </w:tcPr>
          <w:p w:rsidR="00AB6718" w:rsidRPr="00985002" w:rsidRDefault="00AB6718" w:rsidP="00487F2F">
            <w:pPr>
              <w:pStyle w:val="Tabelle-9pt-Kapital-fett"/>
            </w:pPr>
            <w:r w:rsidRPr="00985002">
              <w:t>Material</w:t>
            </w:r>
          </w:p>
        </w:tc>
        <w:tc>
          <w:tcPr>
            <w:tcW w:w="7405" w:type="dxa"/>
            <w:tcMar>
              <w:top w:w="85" w:type="dxa"/>
              <w:bottom w:w="85" w:type="dxa"/>
            </w:tcMar>
          </w:tcPr>
          <w:p w:rsidR="00AB6718" w:rsidRPr="00985002" w:rsidRDefault="00AB6718" w:rsidP="00487F2F">
            <w:pPr>
              <w:pStyle w:val="11pt-FlietextTimeslinksbndig"/>
            </w:pPr>
            <w:r w:rsidRPr="00985002">
              <w:t>2 Bauklötze pro Schülerin/Schüler, Krepp-Band oder Adressetiketten und Fil</w:t>
            </w:r>
            <w:r w:rsidRPr="00985002">
              <w:t>z</w:t>
            </w:r>
            <w:r w:rsidRPr="00985002">
              <w:t>stifte</w:t>
            </w:r>
          </w:p>
        </w:tc>
      </w:tr>
      <w:tr w:rsidR="00AB6718" w:rsidRPr="00985002" w:rsidTr="00487F2F">
        <w:tc>
          <w:tcPr>
            <w:tcW w:w="1951" w:type="dxa"/>
            <w:shd w:val="clear" w:color="auto" w:fill="D9D9D9" w:themeFill="background1" w:themeFillShade="D9"/>
            <w:tcMar>
              <w:top w:w="85" w:type="dxa"/>
              <w:bottom w:w="85" w:type="dxa"/>
            </w:tcMar>
          </w:tcPr>
          <w:p w:rsidR="00AB6718" w:rsidRPr="00985002" w:rsidRDefault="00AB6718" w:rsidP="00487F2F">
            <w:pPr>
              <w:pStyle w:val="Tabelle-9pt-Kapital-fett"/>
            </w:pPr>
            <w:r w:rsidRPr="00985002">
              <w:t>Hinweise</w:t>
            </w:r>
          </w:p>
        </w:tc>
        <w:tc>
          <w:tcPr>
            <w:tcW w:w="7405" w:type="dxa"/>
            <w:tcMar>
              <w:top w:w="85" w:type="dxa"/>
              <w:bottom w:w="85" w:type="dxa"/>
            </w:tcMar>
          </w:tcPr>
          <w:p w:rsidR="00AB6718" w:rsidRPr="00985002" w:rsidRDefault="00AB6718" w:rsidP="00487F2F">
            <w:pPr>
              <w:pStyle w:val="11pt-FlietextTimeslinksbndig"/>
            </w:pPr>
            <w:r w:rsidRPr="00985002">
              <w:t>Je nach Gruppengröße 15 bis 25 min.</w:t>
            </w:r>
          </w:p>
        </w:tc>
      </w:tr>
      <w:tr w:rsidR="00AB6718" w:rsidRPr="00985002" w:rsidTr="00487F2F">
        <w:tc>
          <w:tcPr>
            <w:tcW w:w="1951" w:type="dxa"/>
            <w:shd w:val="clear" w:color="auto" w:fill="D9D9D9" w:themeFill="background1" w:themeFillShade="D9"/>
            <w:tcMar>
              <w:top w:w="85" w:type="dxa"/>
              <w:bottom w:w="85" w:type="dxa"/>
            </w:tcMar>
          </w:tcPr>
          <w:p w:rsidR="00AB6718" w:rsidRPr="00985002" w:rsidRDefault="00AB6718" w:rsidP="00487F2F">
            <w:pPr>
              <w:pStyle w:val="Tabelle-9pt-Kapital-fett"/>
            </w:pPr>
            <w:proofErr w:type="spellStart"/>
            <w:r w:rsidRPr="00985002">
              <w:t>Durchführungs</w:t>
            </w:r>
            <w:r>
              <w:softHyphen/>
            </w:r>
            <w:r w:rsidRPr="00985002">
              <w:t>hinweise</w:t>
            </w:r>
            <w:proofErr w:type="spellEnd"/>
          </w:p>
        </w:tc>
        <w:tc>
          <w:tcPr>
            <w:tcW w:w="7405" w:type="dxa"/>
            <w:tcMar>
              <w:top w:w="85" w:type="dxa"/>
              <w:bottom w:w="85" w:type="dxa"/>
            </w:tcMar>
          </w:tcPr>
          <w:p w:rsidR="00AB6718" w:rsidRPr="00985002" w:rsidRDefault="00AB6718" w:rsidP="00487F2F">
            <w:pPr>
              <w:pStyle w:val="11pt-FlietextTimeslinksbndig"/>
            </w:pPr>
            <w:r w:rsidRPr="00985002">
              <w:t>Es ist bei der Übung wichtig, dass der Name der Methode am Anfang nicht g</w:t>
            </w:r>
            <w:r w:rsidRPr="00985002">
              <w:t>e</w:t>
            </w:r>
            <w:r w:rsidRPr="00985002">
              <w:t>nannt wird und so wenig wie möglich erklärt wird.</w:t>
            </w:r>
          </w:p>
          <w:p w:rsidR="00AB6718" w:rsidRPr="00985002" w:rsidRDefault="00AB6718" w:rsidP="00487F2F">
            <w:pPr>
              <w:pStyle w:val="11pt-FlietextTimeslinksbndig"/>
            </w:pPr>
            <w:r w:rsidRPr="00985002">
              <w:t>Die Lehrperson teilt die Bauklötze aus und bittet die Schülerinnen und Schüler auf jeden Klotz entweder einen Streifen Krepp-Band oder ein Adressetikett zu kleben. Dann schreibt jede Schülerin/jeder Schüler jeweils gut leserlich auf einen Bauklotz eine Stärke von sich selbst. (Statt irgendwelcher Stärken können an dieser Stelle natürlich auch die individuellen Kompetenzen, die in der individue</w:t>
            </w:r>
            <w:r w:rsidRPr="00985002">
              <w:t>l</w:t>
            </w:r>
            <w:r w:rsidRPr="00985002">
              <w:t>len Förderung ausgebaut werden sollen, geschrieben werden.) Erst wenn alle fertig geschrieben haben, wird die Gruppenaufgabe erklärt.</w:t>
            </w:r>
          </w:p>
          <w:p w:rsidR="00AB6718" w:rsidRPr="00985002" w:rsidRDefault="00AB6718" w:rsidP="00487F2F">
            <w:pPr>
              <w:pStyle w:val="11pt-FlietextTimeslinksbndig"/>
            </w:pPr>
            <w:r w:rsidRPr="00985002">
              <w:t>Die gesamte Gruppe hat die Aufgabe, ohne miteinander zu sprechen, einen mö</w:t>
            </w:r>
            <w:r w:rsidRPr="00985002">
              <w:t>g</w:t>
            </w:r>
            <w:r w:rsidRPr="00985002">
              <w:t>lichst hohen Turm zu bauen, ohne dass dieser umfällt. Dabei müssen alle Ba</w:t>
            </w:r>
            <w:r w:rsidRPr="00985002">
              <w:t>u</w:t>
            </w:r>
            <w:r w:rsidRPr="00985002">
              <w:t>klötze verbaut werden und am Ende müssen alle Stärken lesbar sein. Wichtig ist, dass auch die Lösungsvorschläge (z. B. eine Reihenfolge unter den Schülerinnen und Schüler festlegen) nur nonverbal geklärt werden dürfen. Falls jemand spricht oder der Turm zusammenfällt, muss die gesamte Gruppe wieder von vorne sta</w:t>
            </w:r>
            <w:r w:rsidRPr="00985002">
              <w:t>r</w:t>
            </w:r>
            <w:r w:rsidRPr="00985002">
              <w:t>ten.</w:t>
            </w:r>
          </w:p>
          <w:p w:rsidR="00AB6718" w:rsidRDefault="00AB6718" w:rsidP="00487F2F">
            <w:pPr>
              <w:pStyle w:val="11pt-FlietextTimeslinksbndig"/>
            </w:pPr>
          </w:p>
          <w:p w:rsidR="00AB6718" w:rsidRPr="00985002" w:rsidRDefault="00AB6718" w:rsidP="00487F2F">
            <w:pPr>
              <w:pStyle w:val="11pt-FlietextTimeslinksbndig"/>
            </w:pPr>
            <w:r w:rsidRPr="00985002">
              <w:t>Je nach Klassengröße kann die Gruppe natürlich auch geteilt werden und am Ende wird verglichen, wer den höheren Turm gebaut hat.</w:t>
            </w:r>
          </w:p>
          <w:p w:rsidR="00AB6718" w:rsidRPr="00985002" w:rsidRDefault="00AB6718" w:rsidP="00487F2F">
            <w:pPr>
              <w:pStyle w:val="11pt-FlietextTimeslinksbndig"/>
            </w:pPr>
            <w:r w:rsidRPr="00985002">
              <w:lastRenderedPageBreak/>
              <w:t>In der Auswertung kann die Lehrperson dann mit den Jugendlichen folgende Fragen reflektieren:</w:t>
            </w:r>
          </w:p>
          <w:p w:rsidR="00AB6718" w:rsidRPr="00985002" w:rsidRDefault="00AB6718" w:rsidP="00487F2F">
            <w:pPr>
              <w:pStyle w:val="Listenabsatz"/>
            </w:pPr>
            <w:r w:rsidRPr="00985002">
              <w:t>Wie sind wir gemeinsam auf eine Lösung gekommen?</w:t>
            </w:r>
          </w:p>
          <w:p w:rsidR="00AB6718" w:rsidRPr="00985002" w:rsidRDefault="00AB6718" w:rsidP="00487F2F">
            <w:pPr>
              <w:pStyle w:val="Listenabsatz"/>
            </w:pPr>
            <w:r w:rsidRPr="00985002">
              <w:t>Welche Strategien waren hilfreich?</w:t>
            </w:r>
          </w:p>
          <w:p w:rsidR="00AB6718" w:rsidRPr="00985002" w:rsidRDefault="00AB6718" w:rsidP="00487F2F">
            <w:pPr>
              <w:pStyle w:val="Listenabsatz"/>
            </w:pPr>
            <w:r w:rsidRPr="00985002">
              <w:t>Wer hat bei sich oder bei anderen welche Stärke entdeckt?</w:t>
            </w:r>
          </w:p>
          <w:p w:rsidR="00AB6718" w:rsidRPr="00985002" w:rsidRDefault="00AB6718" w:rsidP="00487F2F">
            <w:pPr>
              <w:pStyle w:val="Listenabsatz"/>
            </w:pPr>
            <w:r w:rsidRPr="00985002">
              <w:t xml:space="preserve">Welche Stärken waren gerade durch die gemeinsame Zusammenarbeit besonders effektiv? </w:t>
            </w:r>
          </w:p>
          <w:p w:rsidR="00AB6718" w:rsidRPr="00985002" w:rsidRDefault="00AB6718" w:rsidP="00487F2F">
            <w:pPr>
              <w:pStyle w:val="Listenabsatz"/>
            </w:pPr>
            <w:r w:rsidRPr="00985002">
              <w:t>Für was könnte der Stärkenturm sinnbildlich stehen?</w:t>
            </w:r>
          </w:p>
          <w:p w:rsidR="00AB6718" w:rsidRPr="00985002" w:rsidRDefault="00AB6718" w:rsidP="00487F2F">
            <w:pPr>
              <w:pStyle w:val="11pt-FlietextTimeslinksbndig"/>
            </w:pPr>
            <w:r w:rsidRPr="00985002">
              <w:t>Die Methode „Stärken-Turm bauen“ eignet sich auch zum Einstieg in die ko</w:t>
            </w:r>
            <w:r w:rsidRPr="00985002">
              <w:t>n</w:t>
            </w:r>
            <w:r w:rsidRPr="00985002">
              <w:t>krete Projektarbeit. Anschließend an die Auswertung kann dann überlegt werden, welche Stärken von den einzelnen Teammitgliedern benötigt werden, um das gemeinsame Projekt erfolgreich durchzuführen.</w:t>
            </w:r>
          </w:p>
        </w:tc>
      </w:tr>
      <w:tr w:rsidR="00AB6718" w:rsidRPr="00985002" w:rsidTr="00487F2F">
        <w:tblPrEx>
          <w:tblLook w:val="04A0" w:firstRow="1" w:lastRow="0" w:firstColumn="1" w:lastColumn="0" w:noHBand="0" w:noVBand="1"/>
        </w:tblPrEx>
        <w:tc>
          <w:tcPr>
            <w:tcW w:w="1951" w:type="dxa"/>
            <w:shd w:val="clear" w:color="auto" w:fill="D9D9D9" w:themeFill="background1" w:themeFillShade="D9"/>
            <w:tcMar>
              <w:top w:w="85" w:type="dxa"/>
              <w:bottom w:w="85" w:type="dxa"/>
            </w:tcMar>
          </w:tcPr>
          <w:p w:rsidR="00AB6718" w:rsidRPr="00985002" w:rsidRDefault="00AB6718" w:rsidP="00487F2F">
            <w:pPr>
              <w:pStyle w:val="Tabelle-9pt-Kapital-fett"/>
            </w:pPr>
            <w:r w:rsidRPr="00985002">
              <w:lastRenderedPageBreak/>
              <w:t>Autorin:</w:t>
            </w:r>
          </w:p>
        </w:tc>
        <w:tc>
          <w:tcPr>
            <w:tcW w:w="7405" w:type="dxa"/>
            <w:tcMar>
              <w:top w:w="85" w:type="dxa"/>
              <w:bottom w:w="85" w:type="dxa"/>
            </w:tcMar>
          </w:tcPr>
          <w:p w:rsidR="00AB6718" w:rsidRPr="00985002" w:rsidRDefault="00AB6718" w:rsidP="00487F2F">
            <w:pPr>
              <w:pStyle w:val="11pt-FlietextTimeslinksbndig"/>
            </w:pPr>
            <w:r w:rsidRPr="00985002">
              <w:t xml:space="preserve">Elisabeth </w:t>
            </w:r>
            <w:proofErr w:type="spellStart"/>
            <w:r w:rsidRPr="00985002">
              <w:t>Yupanqui</w:t>
            </w:r>
            <w:proofErr w:type="spellEnd"/>
            <w:r w:rsidRPr="00985002">
              <w:t xml:space="preserve"> Werner, Projektleiterin Stärkenorientierte Kompetenzförd</w:t>
            </w:r>
            <w:r w:rsidRPr="00985002">
              <w:t>e</w:t>
            </w:r>
            <w:r w:rsidRPr="00985002">
              <w:t xml:space="preserve">rung im Auftrag des </w:t>
            </w:r>
            <w:proofErr w:type="spellStart"/>
            <w:r w:rsidRPr="00985002">
              <w:t>KJR</w:t>
            </w:r>
            <w:proofErr w:type="spellEnd"/>
            <w:r w:rsidRPr="00985002">
              <w:t xml:space="preserve"> Esslingen e.V. für das Projektbüro Kompetenzanalyse - Ministerium für Kultus, Jugend und Sport, Baden-Württemberg</w:t>
            </w:r>
          </w:p>
        </w:tc>
      </w:tr>
      <w:tr w:rsidR="00AB6718" w:rsidRPr="00985002" w:rsidTr="00487F2F">
        <w:tblPrEx>
          <w:tblLook w:val="04A0" w:firstRow="1" w:lastRow="0" w:firstColumn="1" w:lastColumn="0" w:noHBand="0" w:noVBand="1"/>
        </w:tblPrEx>
        <w:tc>
          <w:tcPr>
            <w:tcW w:w="1951" w:type="dxa"/>
            <w:shd w:val="clear" w:color="auto" w:fill="D9D9D9" w:themeFill="background1" w:themeFillShade="D9"/>
            <w:tcMar>
              <w:top w:w="85" w:type="dxa"/>
              <w:bottom w:w="85" w:type="dxa"/>
            </w:tcMar>
          </w:tcPr>
          <w:p w:rsidR="00AB6718" w:rsidRPr="00985002" w:rsidRDefault="00AB6718" w:rsidP="00487F2F">
            <w:pPr>
              <w:pStyle w:val="Tabelle-9pt-Kapital-fett"/>
            </w:pPr>
            <w:r w:rsidRPr="00985002">
              <w:t>Quellen:</w:t>
            </w:r>
          </w:p>
        </w:tc>
        <w:tc>
          <w:tcPr>
            <w:tcW w:w="7405" w:type="dxa"/>
            <w:tcMar>
              <w:top w:w="85" w:type="dxa"/>
              <w:bottom w:w="85" w:type="dxa"/>
            </w:tcMar>
          </w:tcPr>
          <w:p w:rsidR="00AB6718" w:rsidRPr="00985002" w:rsidRDefault="00AB6718" w:rsidP="00487F2F">
            <w:pPr>
              <w:pStyle w:val="11pt-FlietextTimeslinksbndig"/>
            </w:pPr>
            <w:r w:rsidRPr="00985002">
              <w:t>Jugendstiftung Baden-Württemberg (</w:t>
            </w:r>
            <w:proofErr w:type="spellStart"/>
            <w:r w:rsidRPr="00985002">
              <w:t>Hg</w:t>
            </w:r>
            <w:proofErr w:type="spellEnd"/>
            <w:r w:rsidRPr="00985002">
              <w:t>) (2010): Praxisheft „Stärken erkennen – Kompetenzen entwickeln – Qualifikationen nachweisen“</w:t>
            </w:r>
          </w:p>
        </w:tc>
      </w:tr>
    </w:tbl>
    <w:p w:rsidR="00CD6932" w:rsidRPr="00AB6718" w:rsidRDefault="00CD6932" w:rsidP="00AB6718">
      <w:pPr>
        <w:spacing w:after="0" w:line="240" w:lineRule="auto"/>
        <w:rPr>
          <w:rFonts w:ascii="Times" w:hAnsi="Times"/>
        </w:rPr>
      </w:pPr>
    </w:p>
    <w:sectPr w:rsidR="00CD6932" w:rsidRPr="00AB6718" w:rsidSect="001E03DE">
      <w:pgSz w:w="11906" w:h="16838"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6718" w:rsidRDefault="00AB6718" w:rsidP="001E03DE">
      <w:r>
        <w:separator/>
      </w:r>
    </w:p>
  </w:endnote>
  <w:endnote w:type="continuationSeparator" w:id="0">
    <w:p w:rsidR="00AB6718" w:rsidRDefault="00AB6718" w:rsidP="001E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6718" w:rsidRDefault="00AB6718" w:rsidP="001E03DE">
      <w:r>
        <w:separator/>
      </w:r>
    </w:p>
  </w:footnote>
  <w:footnote w:type="continuationSeparator" w:id="0">
    <w:p w:rsidR="00AB6718" w:rsidRDefault="00AB6718" w:rsidP="001E03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8C332E"/>
    <w:multiLevelType w:val="hybridMultilevel"/>
    <w:tmpl w:val="450403AC"/>
    <w:lvl w:ilvl="0" w:tplc="85C44888">
      <w:start w:val="1"/>
      <w:numFmt w:val="bullet"/>
      <w:pStyle w:val="Listenabsatz"/>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718"/>
    <w:rsid w:val="001A2103"/>
    <w:rsid w:val="001E03DE"/>
    <w:rsid w:val="002223B8"/>
    <w:rsid w:val="00296589"/>
    <w:rsid w:val="0044650F"/>
    <w:rsid w:val="008A7911"/>
    <w:rsid w:val="009533B3"/>
    <w:rsid w:val="009935DA"/>
    <w:rsid w:val="009C05F9"/>
    <w:rsid w:val="00AB6718"/>
    <w:rsid w:val="00C22DA6"/>
    <w:rsid w:val="00CD6932"/>
    <w:rsid w:val="00F44A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B6718"/>
    <w:pPr>
      <w:spacing w:after="200"/>
    </w:pPr>
    <w:rPr>
      <w:rFonts w:ascii="Calibri" w:eastAsia="Calibri" w:hAnsi="Calibri" w:cs="Times New Roman"/>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rFonts w:eastAsia="Times New Roman"/>
      <w:szCs w:val="20"/>
      <w:lang w:eastAsia="de-DE"/>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rFonts w:eastAsia="Times New Roman"/>
      <w:szCs w:val="20"/>
      <w:lang w:eastAsia="de-DE"/>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eastAsia="Times New Roman"/>
      <w:szCs w:val="20"/>
      <w:lang w:eastAsia="de-DE"/>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eastAsia="Times New Roman"/>
      <w:szCs w:val="20"/>
      <w:lang w:eastAsia="de-DE"/>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eastAsia="Times New Roman"/>
      <w:szCs w:val="20"/>
      <w:lang w:eastAsia="de-DE"/>
    </w:rPr>
  </w:style>
  <w:style w:type="paragraph" w:styleId="Fuzeile">
    <w:name w:val="footer"/>
    <w:basedOn w:val="Standard"/>
    <w:link w:val="FuzeileZchn"/>
    <w:rsid w:val="00F44A67"/>
    <w:pPr>
      <w:tabs>
        <w:tab w:val="center" w:pos="4536"/>
        <w:tab w:val="right" w:pos="9072"/>
      </w:tabs>
      <w:overflowPunct w:val="0"/>
      <w:autoSpaceDE w:val="0"/>
      <w:autoSpaceDN w:val="0"/>
      <w:adjustRightInd w:val="0"/>
      <w:textAlignment w:val="baseline"/>
    </w:pPr>
    <w:rPr>
      <w:rFonts w:eastAsia="Times New Roman"/>
      <w:sz w:val="16"/>
      <w:szCs w:val="20"/>
      <w:lang w:eastAsia="de-DE"/>
    </w:rPr>
  </w:style>
  <w:style w:type="character" w:customStyle="1" w:styleId="FuzeileZchn">
    <w:name w:val="Fußzeile Zchn"/>
    <w:basedOn w:val="Absatz-Standardschriftart"/>
    <w:link w:val="Fuzeile"/>
    <w:rsid w:val="00F44A67"/>
    <w:rPr>
      <w:rFonts w:eastAsia="Times New Roman" w:cs="Times New Roman"/>
      <w:sz w:val="16"/>
      <w:szCs w:val="20"/>
      <w:lang w:eastAsia="de-DE"/>
    </w:rPr>
  </w:style>
  <w:style w:type="paragraph" w:styleId="Kopfzeile">
    <w:name w:val="header"/>
    <w:basedOn w:val="Standard"/>
    <w:link w:val="KopfzeileZchn"/>
    <w:rsid w:val="00F44A67"/>
    <w:pPr>
      <w:tabs>
        <w:tab w:val="center" w:pos="4536"/>
        <w:tab w:val="right" w:pos="9072"/>
      </w:tabs>
      <w:overflowPunct w:val="0"/>
      <w:autoSpaceDE w:val="0"/>
      <w:autoSpaceDN w:val="0"/>
      <w:adjustRightInd w:val="0"/>
      <w:textAlignment w:val="baseline"/>
    </w:pPr>
    <w:rPr>
      <w:rFonts w:eastAsia="Times New Roman"/>
      <w:szCs w:val="20"/>
      <w:lang w:eastAsia="de-DE"/>
    </w:rPr>
  </w:style>
  <w:style w:type="character" w:customStyle="1" w:styleId="KopfzeileZchn">
    <w:name w:val="Kopfzeile Zchn"/>
    <w:basedOn w:val="Absatz-Standardschriftart"/>
    <w:link w:val="Kopfzeile"/>
    <w:rsid w:val="00F44A67"/>
    <w:rPr>
      <w:rFonts w:eastAsia="Times New Roman" w:cs="Times New Roman"/>
      <w:szCs w:val="20"/>
      <w:lang w:eastAsia="de-DE"/>
    </w:rPr>
  </w:style>
  <w:style w:type="character" w:styleId="Seitenzahl">
    <w:name w:val="page number"/>
    <w:basedOn w:val="Absatz-Standardschriftart"/>
    <w:rsid w:val="00F44A67"/>
  </w:style>
  <w:style w:type="table" w:styleId="Tabellenraster">
    <w:name w:val="Table Grid"/>
    <w:basedOn w:val="NormaleTabelle"/>
    <w:uiPriority w:val="59"/>
    <w:rsid w:val="00AB6718"/>
    <w:pPr>
      <w:spacing w:line="240" w:lineRule="auto"/>
    </w:pPr>
    <w:rPr>
      <w:rFonts w:ascii="Calibri" w:eastAsia="Calibri" w:hAnsi="Calibri"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9pt-Kapital-fett">
    <w:name w:val="Tabelle-9pt-Kapital-fett"/>
    <w:qFormat/>
    <w:rsid w:val="00AB6718"/>
    <w:pPr>
      <w:spacing w:before="120" w:line="499" w:lineRule="auto"/>
    </w:pPr>
    <w:rPr>
      <w:rFonts w:eastAsia="Calibri" w:cs="Times New Roman"/>
      <w:b/>
      <w:caps/>
      <w:sz w:val="18"/>
    </w:rPr>
  </w:style>
  <w:style w:type="paragraph" w:styleId="Listenabsatz">
    <w:name w:val="List Paragraph"/>
    <w:basedOn w:val="Standard"/>
    <w:uiPriority w:val="34"/>
    <w:qFormat/>
    <w:rsid w:val="00AB6718"/>
    <w:pPr>
      <w:numPr>
        <w:numId w:val="1"/>
      </w:numPr>
      <w:spacing w:after="0" w:line="400" w:lineRule="auto"/>
      <w:contextualSpacing/>
    </w:pPr>
    <w:rPr>
      <w:rFonts w:ascii="Times" w:hAnsi="Times"/>
    </w:rPr>
  </w:style>
  <w:style w:type="paragraph" w:customStyle="1" w:styleId="11pt-FlietextTimeslinksbndig">
    <w:name w:val="11pt-Fließtext Times linksbündig"/>
    <w:basedOn w:val="Standard"/>
    <w:qFormat/>
    <w:rsid w:val="00AB6718"/>
    <w:pPr>
      <w:tabs>
        <w:tab w:val="left" w:pos="454"/>
        <w:tab w:val="left" w:pos="4536"/>
      </w:tabs>
      <w:spacing w:after="0" w:line="400" w:lineRule="auto"/>
    </w:pPr>
    <w:rPr>
      <w:rFonts w:ascii="Times" w:hAnsi="Times"/>
    </w:rPr>
  </w:style>
  <w:style w:type="paragraph" w:customStyle="1" w:styleId="14pt-head-Times">
    <w:name w:val="14pt-head-Times"/>
    <w:basedOn w:val="Standard"/>
    <w:qFormat/>
    <w:rsid w:val="00AB6718"/>
    <w:pPr>
      <w:spacing w:after="0" w:line="500" w:lineRule="auto"/>
    </w:pPr>
    <w:rPr>
      <w:rFonts w:ascii="Times" w:eastAsiaTheme="minorEastAsia" w:hAnsi="Times" w:cstheme="minorBidi"/>
      <w:sz w:val="28"/>
      <w:szCs w:val="48"/>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B6718"/>
    <w:pPr>
      <w:spacing w:after="200"/>
    </w:pPr>
    <w:rPr>
      <w:rFonts w:ascii="Calibri" w:eastAsia="Calibri" w:hAnsi="Calibri" w:cs="Times New Roman"/>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rFonts w:eastAsia="Times New Roman"/>
      <w:szCs w:val="20"/>
      <w:lang w:eastAsia="de-DE"/>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rFonts w:eastAsia="Times New Roman"/>
      <w:szCs w:val="20"/>
      <w:lang w:eastAsia="de-DE"/>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eastAsia="Times New Roman"/>
      <w:szCs w:val="20"/>
      <w:lang w:eastAsia="de-DE"/>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eastAsia="Times New Roman"/>
      <w:szCs w:val="20"/>
      <w:lang w:eastAsia="de-DE"/>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eastAsia="Times New Roman"/>
      <w:szCs w:val="20"/>
      <w:lang w:eastAsia="de-DE"/>
    </w:rPr>
  </w:style>
  <w:style w:type="paragraph" w:styleId="Fuzeile">
    <w:name w:val="footer"/>
    <w:basedOn w:val="Standard"/>
    <w:link w:val="FuzeileZchn"/>
    <w:rsid w:val="00F44A67"/>
    <w:pPr>
      <w:tabs>
        <w:tab w:val="center" w:pos="4536"/>
        <w:tab w:val="right" w:pos="9072"/>
      </w:tabs>
      <w:overflowPunct w:val="0"/>
      <w:autoSpaceDE w:val="0"/>
      <w:autoSpaceDN w:val="0"/>
      <w:adjustRightInd w:val="0"/>
      <w:textAlignment w:val="baseline"/>
    </w:pPr>
    <w:rPr>
      <w:rFonts w:eastAsia="Times New Roman"/>
      <w:sz w:val="16"/>
      <w:szCs w:val="20"/>
      <w:lang w:eastAsia="de-DE"/>
    </w:rPr>
  </w:style>
  <w:style w:type="character" w:customStyle="1" w:styleId="FuzeileZchn">
    <w:name w:val="Fußzeile Zchn"/>
    <w:basedOn w:val="Absatz-Standardschriftart"/>
    <w:link w:val="Fuzeile"/>
    <w:rsid w:val="00F44A67"/>
    <w:rPr>
      <w:rFonts w:eastAsia="Times New Roman" w:cs="Times New Roman"/>
      <w:sz w:val="16"/>
      <w:szCs w:val="20"/>
      <w:lang w:eastAsia="de-DE"/>
    </w:rPr>
  </w:style>
  <w:style w:type="paragraph" w:styleId="Kopfzeile">
    <w:name w:val="header"/>
    <w:basedOn w:val="Standard"/>
    <w:link w:val="KopfzeileZchn"/>
    <w:rsid w:val="00F44A67"/>
    <w:pPr>
      <w:tabs>
        <w:tab w:val="center" w:pos="4536"/>
        <w:tab w:val="right" w:pos="9072"/>
      </w:tabs>
      <w:overflowPunct w:val="0"/>
      <w:autoSpaceDE w:val="0"/>
      <w:autoSpaceDN w:val="0"/>
      <w:adjustRightInd w:val="0"/>
      <w:textAlignment w:val="baseline"/>
    </w:pPr>
    <w:rPr>
      <w:rFonts w:eastAsia="Times New Roman"/>
      <w:szCs w:val="20"/>
      <w:lang w:eastAsia="de-DE"/>
    </w:rPr>
  </w:style>
  <w:style w:type="character" w:customStyle="1" w:styleId="KopfzeileZchn">
    <w:name w:val="Kopfzeile Zchn"/>
    <w:basedOn w:val="Absatz-Standardschriftart"/>
    <w:link w:val="Kopfzeile"/>
    <w:rsid w:val="00F44A67"/>
    <w:rPr>
      <w:rFonts w:eastAsia="Times New Roman" w:cs="Times New Roman"/>
      <w:szCs w:val="20"/>
      <w:lang w:eastAsia="de-DE"/>
    </w:rPr>
  </w:style>
  <w:style w:type="character" w:styleId="Seitenzahl">
    <w:name w:val="page number"/>
    <w:basedOn w:val="Absatz-Standardschriftart"/>
    <w:rsid w:val="00F44A67"/>
  </w:style>
  <w:style w:type="table" w:styleId="Tabellenraster">
    <w:name w:val="Table Grid"/>
    <w:basedOn w:val="NormaleTabelle"/>
    <w:uiPriority w:val="59"/>
    <w:rsid w:val="00AB6718"/>
    <w:pPr>
      <w:spacing w:line="240" w:lineRule="auto"/>
    </w:pPr>
    <w:rPr>
      <w:rFonts w:ascii="Calibri" w:eastAsia="Calibri" w:hAnsi="Calibri"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9pt-Kapital-fett">
    <w:name w:val="Tabelle-9pt-Kapital-fett"/>
    <w:qFormat/>
    <w:rsid w:val="00AB6718"/>
    <w:pPr>
      <w:spacing w:before="120" w:line="499" w:lineRule="auto"/>
    </w:pPr>
    <w:rPr>
      <w:rFonts w:eastAsia="Calibri" w:cs="Times New Roman"/>
      <w:b/>
      <w:caps/>
      <w:sz w:val="18"/>
    </w:rPr>
  </w:style>
  <w:style w:type="paragraph" w:styleId="Listenabsatz">
    <w:name w:val="List Paragraph"/>
    <w:basedOn w:val="Standard"/>
    <w:uiPriority w:val="34"/>
    <w:qFormat/>
    <w:rsid w:val="00AB6718"/>
    <w:pPr>
      <w:numPr>
        <w:numId w:val="1"/>
      </w:numPr>
      <w:spacing w:after="0" w:line="400" w:lineRule="auto"/>
      <w:contextualSpacing/>
    </w:pPr>
    <w:rPr>
      <w:rFonts w:ascii="Times" w:hAnsi="Times"/>
    </w:rPr>
  </w:style>
  <w:style w:type="paragraph" w:customStyle="1" w:styleId="11pt-FlietextTimeslinksbndig">
    <w:name w:val="11pt-Fließtext Times linksbündig"/>
    <w:basedOn w:val="Standard"/>
    <w:qFormat/>
    <w:rsid w:val="00AB6718"/>
    <w:pPr>
      <w:tabs>
        <w:tab w:val="left" w:pos="454"/>
        <w:tab w:val="left" w:pos="4536"/>
      </w:tabs>
      <w:spacing w:after="0" w:line="400" w:lineRule="auto"/>
    </w:pPr>
    <w:rPr>
      <w:rFonts w:ascii="Times" w:hAnsi="Times"/>
    </w:rPr>
  </w:style>
  <w:style w:type="paragraph" w:customStyle="1" w:styleId="14pt-head-Times">
    <w:name w:val="14pt-head-Times"/>
    <w:basedOn w:val="Standard"/>
    <w:qFormat/>
    <w:rsid w:val="00AB6718"/>
    <w:pPr>
      <w:spacing w:after="0" w:line="500" w:lineRule="auto"/>
    </w:pPr>
    <w:rPr>
      <w:rFonts w:ascii="Times" w:eastAsiaTheme="minorEastAsia" w:hAnsi="Times" w:cstheme="minorBidi"/>
      <w:sz w:val="28"/>
      <w:szCs w:val="4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391</Words>
  <Characters>2469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IZLBW</Company>
  <LinksUpToDate>false</LinksUpToDate>
  <CharactersWithSpaces>2855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Referat34-1 (KM)</dc:creator>
  <cp:lastModifiedBy>Referat34-1 (KM)</cp:lastModifiedBy>
  <cp:revision>1</cp:revision>
  <dcterms:created xsi:type="dcterms:W3CDTF">2014-11-21T14:51:00Z</dcterms:created>
  <dcterms:modified xsi:type="dcterms:W3CDTF">2014-11-21T14:52:00Z</dcterms:modified>
</cp:coreProperties>
</file>