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91" w:rsidRPr="00A029DD" w:rsidRDefault="00697891" w:rsidP="00697891">
      <w:pPr>
        <w:pStyle w:val="14pt-head-Times"/>
      </w:pPr>
      <w:bookmarkStart w:id="0" w:name="_GoBack"/>
      <w:bookmarkEnd w:id="0"/>
      <w:r w:rsidRPr="00A029DD">
        <w:t xml:space="preserve">„Stärkenkarten sortieren“ </w:t>
      </w:r>
    </w:p>
    <w:tbl>
      <w:tblPr>
        <w:tblStyle w:val="Tabellenraster"/>
        <w:tblW w:w="9356" w:type="dxa"/>
        <w:tblLayout w:type="fixed"/>
        <w:tblCellMar>
          <w:top w:w="57" w:type="dxa"/>
        </w:tblCellMar>
        <w:tblLook w:val="00A0" w:firstRow="1" w:lastRow="0" w:firstColumn="1" w:lastColumn="0" w:noHBand="0" w:noVBand="0"/>
      </w:tblPr>
      <w:tblGrid>
        <w:gridCol w:w="1951"/>
        <w:gridCol w:w="7405"/>
      </w:tblGrid>
      <w:tr w:rsidR="00697891" w:rsidRPr="00C329FB" w:rsidTr="00487F2F">
        <w:tc>
          <w:tcPr>
            <w:tcW w:w="1951" w:type="dxa"/>
            <w:shd w:val="clear" w:color="auto" w:fill="D9D9D9" w:themeFill="background1" w:themeFillShade="D9"/>
            <w:tcMar>
              <w:top w:w="85" w:type="dxa"/>
              <w:bottom w:w="85" w:type="dxa"/>
            </w:tcMar>
          </w:tcPr>
          <w:p w:rsidR="00697891" w:rsidRPr="00C329FB" w:rsidRDefault="00697891" w:rsidP="00487F2F">
            <w:pPr>
              <w:pStyle w:val="Tabelle-9pt-Kapital-fett"/>
            </w:pPr>
            <w:r w:rsidRPr="00C329FB">
              <w:t>Überfachliche Kompetenzen</w:t>
            </w:r>
          </w:p>
        </w:tc>
        <w:tc>
          <w:tcPr>
            <w:tcW w:w="7405" w:type="dxa"/>
            <w:tcMar>
              <w:top w:w="85" w:type="dxa"/>
              <w:bottom w:w="85" w:type="dxa"/>
            </w:tcMar>
          </w:tcPr>
          <w:p w:rsidR="00697891" w:rsidRPr="00C329FB" w:rsidRDefault="00697891" w:rsidP="00487F2F">
            <w:pPr>
              <w:pStyle w:val="11pt-FlietextTimeslinksbndig"/>
            </w:pPr>
            <w:r w:rsidRPr="00C329FB">
              <w:t>Reflexionsfähigkeit</w:t>
            </w:r>
            <w:r w:rsidRPr="00C329FB">
              <w:rPr>
                <w:b/>
              </w:rPr>
              <w:t xml:space="preserve">, Konzentrationsfähigkeit, </w:t>
            </w:r>
            <w:r w:rsidRPr="00C329FB">
              <w:t>kreativ-sprachliche Fähigkeit, Präsentationsfähigkeit</w:t>
            </w:r>
          </w:p>
        </w:tc>
      </w:tr>
      <w:tr w:rsidR="00697891" w:rsidRPr="00C329FB" w:rsidTr="00487F2F">
        <w:tc>
          <w:tcPr>
            <w:tcW w:w="1951" w:type="dxa"/>
            <w:shd w:val="clear" w:color="auto" w:fill="D9D9D9" w:themeFill="background1" w:themeFillShade="D9"/>
            <w:tcMar>
              <w:top w:w="85" w:type="dxa"/>
              <w:bottom w:w="85" w:type="dxa"/>
            </w:tcMar>
          </w:tcPr>
          <w:p w:rsidR="00697891" w:rsidRPr="00C329FB" w:rsidRDefault="00697891" w:rsidP="00487F2F">
            <w:pPr>
              <w:pStyle w:val="Tabelle-9pt-Kapital-fett"/>
            </w:pPr>
            <w:r w:rsidRPr="00C329FB">
              <w:t>Ziele</w:t>
            </w:r>
          </w:p>
        </w:tc>
        <w:tc>
          <w:tcPr>
            <w:tcW w:w="7405" w:type="dxa"/>
            <w:tcMar>
              <w:top w:w="85" w:type="dxa"/>
              <w:bottom w:w="85" w:type="dxa"/>
            </w:tcMar>
          </w:tcPr>
          <w:p w:rsidR="00697891" w:rsidRPr="00C329FB" w:rsidRDefault="00697891" w:rsidP="00487F2F">
            <w:pPr>
              <w:pStyle w:val="11pt-FlietextTimeslinksbndig"/>
            </w:pPr>
            <w:r w:rsidRPr="00C329FB">
              <w:t>Intensive Auseinandersetzung mit den eigenen Stärken</w:t>
            </w:r>
          </w:p>
          <w:p w:rsidR="00697891" w:rsidRPr="00C329FB" w:rsidRDefault="00697891" w:rsidP="00487F2F">
            <w:pPr>
              <w:pStyle w:val="11pt-FlietextTimeslinksbndig"/>
            </w:pPr>
            <w:r w:rsidRPr="00C329FB">
              <w:t>Auswahl der neun wichtigsten Stärken.</w:t>
            </w:r>
          </w:p>
          <w:p w:rsidR="00697891" w:rsidRPr="00C329FB" w:rsidRDefault="00697891" w:rsidP="00487F2F">
            <w:pPr>
              <w:pStyle w:val="11pt-FlietextTimeslinksbndig"/>
            </w:pPr>
            <w:r w:rsidRPr="00C329FB">
              <w:t>Schülerinnen und Schüler begründen, warum sie glauben, dass sie die jeweilige Stärke haben.</w:t>
            </w:r>
          </w:p>
        </w:tc>
      </w:tr>
      <w:tr w:rsidR="00697891" w:rsidRPr="00C329FB" w:rsidTr="00487F2F">
        <w:tc>
          <w:tcPr>
            <w:tcW w:w="1951" w:type="dxa"/>
            <w:shd w:val="clear" w:color="auto" w:fill="D9D9D9" w:themeFill="background1" w:themeFillShade="D9"/>
            <w:tcMar>
              <w:top w:w="85" w:type="dxa"/>
              <w:bottom w:w="85" w:type="dxa"/>
            </w:tcMar>
          </w:tcPr>
          <w:p w:rsidR="00697891" w:rsidRPr="00C329FB" w:rsidRDefault="00697891" w:rsidP="00487F2F">
            <w:pPr>
              <w:pStyle w:val="Tabelle-9pt-Kapital-fett"/>
            </w:pPr>
            <w:r w:rsidRPr="00C329FB">
              <w:t>Material</w:t>
            </w:r>
          </w:p>
        </w:tc>
        <w:tc>
          <w:tcPr>
            <w:tcW w:w="7405" w:type="dxa"/>
            <w:tcMar>
              <w:top w:w="85" w:type="dxa"/>
              <w:bottom w:w="85" w:type="dxa"/>
            </w:tcMar>
          </w:tcPr>
          <w:p w:rsidR="00697891" w:rsidRPr="00C329FB" w:rsidRDefault="00697891" w:rsidP="00487F2F">
            <w:pPr>
              <w:pStyle w:val="11pt-FlietextTimeslinksbndig"/>
            </w:pPr>
            <w:r w:rsidRPr="00C329FB">
              <w:t>Stärkenkarten, Papier, Stift, evtl. leere Karten</w:t>
            </w:r>
          </w:p>
        </w:tc>
      </w:tr>
      <w:tr w:rsidR="00697891" w:rsidRPr="00C329FB" w:rsidTr="00487F2F">
        <w:tc>
          <w:tcPr>
            <w:tcW w:w="1951" w:type="dxa"/>
            <w:shd w:val="clear" w:color="auto" w:fill="D9D9D9" w:themeFill="background1" w:themeFillShade="D9"/>
            <w:tcMar>
              <w:top w:w="85" w:type="dxa"/>
              <w:bottom w:w="85" w:type="dxa"/>
            </w:tcMar>
          </w:tcPr>
          <w:p w:rsidR="00697891" w:rsidRPr="00C329FB" w:rsidRDefault="00697891" w:rsidP="00487F2F">
            <w:pPr>
              <w:pStyle w:val="Tabelle-9pt-Kapital-fett"/>
            </w:pPr>
            <w:r w:rsidRPr="00C329FB">
              <w:t>Hinweise</w:t>
            </w:r>
          </w:p>
        </w:tc>
        <w:tc>
          <w:tcPr>
            <w:tcW w:w="7405" w:type="dxa"/>
            <w:tcMar>
              <w:top w:w="85" w:type="dxa"/>
              <w:bottom w:w="85" w:type="dxa"/>
            </w:tcMar>
          </w:tcPr>
          <w:p w:rsidR="00697891" w:rsidRPr="00C329FB" w:rsidRDefault="00697891" w:rsidP="00487F2F">
            <w:pPr>
              <w:pStyle w:val="11pt-FlietextTimeslinksbndig"/>
            </w:pPr>
            <w:r w:rsidRPr="00C329FB">
              <w:rPr>
                <w:b/>
              </w:rPr>
              <w:t>Zeitplanung/Sozialform</w:t>
            </w:r>
            <w:r w:rsidRPr="00C329FB">
              <w:t>: Stärkenkarten sortieren (Einzelarbeit): 20-30 min, Stärken-Bingo (Plenum): 20-30 min je nachdem wie viele Bingo-Runden g</w:t>
            </w:r>
            <w:r w:rsidRPr="00C329FB">
              <w:t>e</w:t>
            </w:r>
            <w:r w:rsidRPr="00C329FB">
              <w:t>spielt werden sollen.</w:t>
            </w:r>
          </w:p>
          <w:p w:rsidR="00697891" w:rsidRPr="00C329FB" w:rsidRDefault="00697891" w:rsidP="00487F2F">
            <w:pPr>
              <w:pStyle w:val="11pt-FlietextTimeslinksbndig"/>
            </w:pPr>
            <w:r w:rsidRPr="00C329FB">
              <w:rPr>
                <w:b/>
              </w:rPr>
              <w:t>Anschlussmethode</w:t>
            </w:r>
            <w:r w:rsidRPr="00C329FB">
              <w:t>: „Stärken-Interview“, „Stärken und ihre Vorbilder“</w:t>
            </w:r>
          </w:p>
        </w:tc>
      </w:tr>
      <w:tr w:rsidR="00697891" w:rsidRPr="00C329FB" w:rsidTr="00487F2F">
        <w:tc>
          <w:tcPr>
            <w:tcW w:w="1951" w:type="dxa"/>
            <w:shd w:val="clear" w:color="auto" w:fill="D9D9D9" w:themeFill="background1" w:themeFillShade="D9"/>
            <w:tcMar>
              <w:top w:w="85" w:type="dxa"/>
              <w:bottom w:w="85" w:type="dxa"/>
            </w:tcMar>
          </w:tcPr>
          <w:p w:rsidR="00697891" w:rsidRPr="00C329FB" w:rsidRDefault="00697891" w:rsidP="00487F2F">
            <w:pPr>
              <w:pStyle w:val="Tabelle-9pt-Kapital-fett"/>
            </w:pPr>
            <w:proofErr w:type="spellStart"/>
            <w:r w:rsidRPr="00C329FB">
              <w:t>Durchführungs</w:t>
            </w:r>
            <w:r>
              <w:softHyphen/>
            </w:r>
            <w:r w:rsidRPr="00C329FB">
              <w:t>hinweise</w:t>
            </w:r>
            <w:proofErr w:type="spellEnd"/>
          </w:p>
        </w:tc>
        <w:tc>
          <w:tcPr>
            <w:tcW w:w="7405" w:type="dxa"/>
            <w:tcMar>
              <w:top w:w="85" w:type="dxa"/>
              <w:bottom w:w="85" w:type="dxa"/>
            </w:tcMar>
          </w:tcPr>
          <w:p w:rsidR="00697891" w:rsidRPr="00C329FB" w:rsidRDefault="00697891" w:rsidP="00487F2F">
            <w:pPr>
              <w:pStyle w:val="11pt-FlietextTimeslinksbndig"/>
            </w:pPr>
            <w:r w:rsidRPr="00C329FB">
              <w:t>Kurze Einführung</w:t>
            </w:r>
          </w:p>
          <w:p w:rsidR="00697891" w:rsidRPr="00C329FB" w:rsidRDefault="00697891" w:rsidP="00487F2F">
            <w:pPr>
              <w:pStyle w:val="11pt-FlietextTimeslinksbndig"/>
            </w:pPr>
            <w:r w:rsidRPr="00C329FB">
              <w:t>Die Schülerinnen und Schüler lesen zunächst für sich in Ruhe die Stärkenkarten durch. Danach sortieren alle ihre Stärken in drei Stapel</w:t>
            </w:r>
          </w:p>
          <w:p w:rsidR="00697891" w:rsidRPr="00C329FB" w:rsidRDefault="00697891" w:rsidP="00697891">
            <w:pPr>
              <w:numPr>
                <w:ilvl w:val="0"/>
                <w:numId w:val="1"/>
              </w:numPr>
              <w:spacing w:after="0" w:line="360" w:lineRule="auto"/>
              <w:rPr>
                <w:rFonts w:ascii="Times" w:hAnsi="Times"/>
              </w:rPr>
            </w:pPr>
            <w:r w:rsidRPr="00C329FB">
              <w:rPr>
                <w:rFonts w:ascii="Times" w:hAnsi="Times"/>
              </w:rPr>
              <w:t>Stärken, die ich sicher habe</w:t>
            </w:r>
          </w:p>
          <w:p w:rsidR="00697891" w:rsidRPr="00C329FB" w:rsidRDefault="00697891" w:rsidP="00697891">
            <w:pPr>
              <w:numPr>
                <w:ilvl w:val="0"/>
                <w:numId w:val="1"/>
              </w:numPr>
              <w:spacing w:after="0" w:line="360" w:lineRule="auto"/>
              <w:rPr>
                <w:rFonts w:ascii="Times" w:hAnsi="Times"/>
              </w:rPr>
            </w:pPr>
            <w:r w:rsidRPr="00C329FB">
              <w:rPr>
                <w:rFonts w:ascii="Times" w:hAnsi="Times"/>
              </w:rPr>
              <w:t>Stärken, bei denen ich mir nicht sicher bin</w:t>
            </w:r>
          </w:p>
          <w:p w:rsidR="00697891" w:rsidRDefault="00697891" w:rsidP="00697891">
            <w:pPr>
              <w:numPr>
                <w:ilvl w:val="0"/>
                <w:numId w:val="1"/>
              </w:numPr>
              <w:spacing w:after="0" w:line="360" w:lineRule="auto"/>
              <w:rPr>
                <w:rFonts w:ascii="Times" w:hAnsi="Times"/>
              </w:rPr>
            </w:pPr>
            <w:r w:rsidRPr="00C329FB">
              <w:rPr>
                <w:rFonts w:ascii="Times" w:hAnsi="Times"/>
              </w:rPr>
              <w:t>Stärken, die ich nicht habe</w:t>
            </w:r>
          </w:p>
          <w:p w:rsidR="00697891" w:rsidRDefault="00697891" w:rsidP="00487F2F">
            <w:pPr>
              <w:spacing w:after="0"/>
              <w:rPr>
                <w:rFonts w:ascii="Times" w:hAnsi="Times"/>
              </w:rPr>
            </w:pPr>
          </w:p>
          <w:p w:rsidR="00697891" w:rsidRPr="009F729F" w:rsidRDefault="00697891" w:rsidP="00487F2F">
            <w:pPr>
              <w:pStyle w:val="11pt-FlietextTimeslinksbndig"/>
            </w:pPr>
            <w:r w:rsidRPr="009F729F">
              <w:t>Sind diese drei Stapel entstanden, nehmen die Schülerinnen und Schüler den mittleren Stapel noch einmal zur Hand und sortieren ihn auf die beiden anderen. Für manche Schülerinnen und Schüler ist es hilfreich, wenn sie diese Auswahl zu zweit durchführen können. Gibt es noch weitere Stärken, die die Schülerinnen und Schüler haben, die aber nicht auf Karten stehen, können diese auf leere Ka</w:t>
            </w:r>
            <w:r w:rsidRPr="009F729F">
              <w:t>r</w:t>
            </w:r>
            <w:r w:rsidRPr="009F729F">
              <w:t xml:space="preserve">ten geschrieben und ergänzt werden. </w:t>
            </w:r>
          </w:p>
          <w:p w:rsidR="00697891" w:rsidRPr="00C329FB" w:rsidRDefault="00697891" w:rsidP="00487F2F">
            <w:pPr>
              <w:pStyle w:val="11pt-FlietextTimeslinksbndig"/>
            </w:pPr>
            <w:r w:rsidRPr="00C329FB">
              <w:t>Mit den vorhandenen Stärken wird dann weitergearbeitet, indem die Schüleri</w:t>
            </w:r>
            <w:r w:rsidRPr="00C329FB">
              <w:t>n</w:t>
            </w:r>
            <w:r w:rsidRPr="00C329FB">
              <w:t>nen und Schüler ihre Karten vor sich auslegen und dabei gleichzeitig nach Z</w:t>
            </w:r>
            <w:r w:rsidRPr="00C329FB">
              <w:t>u</w:t>
            </w:r>
            <w:r w:rsidRPr="00C329FB">
              <w:t xml:space="preserve">sammengehörigkeit sortieren. </w:t>
            </w:r>
          </w:p>
          <w:p w:rsidR="00697891" w:rsidRDefault="00697891" w:rsidP="00487F2F">
            <w:pPr>
              <w:pStyle w:val="11pt-FlietextTimeslinksbndig"/>
            </w:pPr>
          </w:p>
          <w:p w:rsidR="00697891" w:rsidRDefault="00697891" w:rsidP="00487F2F">
            <w:pPr>
              <w:pStyle w:val="11pt-FlietextTimeslinksbndig"/>
            </w:pPr>
          </w:p>
          <w:p w:rsidR="00697891" w:rsidRDefault="00697891" w:rsidP="00487F2F">
            <w:pPr>
              <w:pStyle w:val="11pt-FlietextTimeslinksbndig"/>
            </w:pPr>
          </w:p>
          <w:p w:rsidR="00697891" w:rsidRPr="00C329FB" w:rsidRDefault="00697891" w:rsidP="00487F2F">
            <w:pPr>
              <w:pStyle w:val="11pt-FlietextTimeslinksbndig"/>
            </w:pPr>
            <w:r w:rsidRPr="00C329FB">
              <w:lastRenderedPageBreak/>
              <w:t>Nach dieser Auswahl versuchen nun alle Schülerinnen und Schüler ihre neun wichtigsten Stärken zu ermitteln. Hilfreiche Fragen bei der Auswahl der wic</w:t>
            </w:r>
            <w:r w:rsidRPr="00C329FB">
              <w:t>h</w:t>
            </w:r>
            <w:r w:rsidRPr="00C329FB">
              <w:t>tigsten Stärken können sein:</w:t>
            </w:r>
          </w:p>
          <w:p w:rsidR="00697891" w:rsidRPr="00C329FB" w:rsidRDefault="00697891" w:rsidP="00697891">
            <w:pPr>
              <w:numPr>
                <w:ilvl w:val="0"/>
                <w:numId w:val="2"/>
              </w:numPr>
              <w:spacing w:after="0" w:line="360" w:lineRule="auto"/>
              <w:rPr>
                <w:rFonts w:ascii="Times" w:hAnsi="Times"/>
              </w:rPr>
            </w:pPr>
            <w:r w:rsidRPr="00C329FB">
              <w:rPr>
                <w:rFonts w:ascii="Times" w:hAnsi="Times"/>
              </w:rPr>
              <w:t>In welchen Situationen setze ich diese Stärke ein?</w:t>
            </w:r>
          </w:p>
          <w:p w:rsidR="00697891" w:rsidRPr="00C329FB" w:rsidRDefault="00697891" w:rsidP="00697891">
            <w:pPr>
              <w:numPr>
                <w:ilvl w:val="0"/>
                <w:numId w:val="2"/>
              </w:numPr>
              <w:spacing w:after="0" w:line="360" w:lineRule="auto"/>
              <w:rPr>
                <w:rFonts w:ascii="Times" w:hAnsi="Times"/>
              </w:rPr>
            </w:pPr>
            <w:r w:rsidRPr="00C329FB">
              <w:rPr>
                <w:rFonts w:ascii="Times" w:hAnsi="Times"/>
              </w:rPr>
              <w:t>Welche Rückmeldungen bekomme ich zu dieser Stärke?</w:t>
            </w:r>
          </w:p>
          <w:p w:rsidR="00697891" w:rsidRPr="00C329FB" w:rsidRDefault="00697891" w:rsidP="00697891">
            <w:pPr>
              <w:numPr>
                <w:ilvl w:val="0"/>
                <w:numId w:val="2"/>
              </w:numPr>
              <w:spacing w:after="0" w:line="360" w:lineRule="auto"/>
              <w:rPr>
                <w:rFonts w:ascii="Times" w:hAnsi="Times"/>
              </w:rPr>
            </w:pPr>
            <w:r w:rsidRPr="00C329FB">
              <w:rPr>
                <w:rFonts w:ascii="Times" w:hAnsi="Times"/>
              </w:rPr>
              <w:t>Kann ich das besser als andere?</w:t>
            </w:r>
          </w:p>
          <w:p w:rsidR="00697891" w:rsidRPr="00C329FB" w:rsidRDefault="00697891" w:rsidP="00697891">
            <w:pPr>
              <w:numPr>
                <w:ilvl w:val="0"/>
                <w:numId w:val="2"/>
              </w:numPr>
              <w:spacing w:after="0" w:line="360" w:lineRule="auto"/>
              <w:rPr>
                <w:rFonts w:ascii="Times" w:hAnsi="Times"/>
              </w:rPr>
            </w:pPr>
            <w:r w:rsidRPr="00C329FB">
              <w:rPr>
                <w:rFonts w:ascii="Times" w:hAnsi="Times"/>
              </w:rPr>
              <w:t>Wie stark gehört diese Stärke zu mir?</w:t>
            </w:r>
          </w:p>
          <w:p w:rsidR="00697891" w:rsidRPr="00C329FB" w:rsidRDefault="00697891" w:rsidP="00487F2F">
            <w:pPr>
              <w:pStyle w:val="11pt-FlietextTimeslinksbndig"/>
            </w:pPr>
            <w:r w:rsidRPr="00C329FB">
              <w:t>Die ausgewählten Karten legen die Schülerinnen und Schüler in einem Rechteck zu 3 x 3 Karten vor sich auf den Tisch.</w:t>
            </w:r>
          </w:p>
          <w:p w:rsidR="00697891" w:rsidRPr="00C329FB" w:rsidRDefault="00697891" w:rsidP="00487F2F">
            <w:pPr>
              <w:pStyle w:val="11pt-FlietextTimeslinksbndig"/>
            </w:pPr>
            <w:r w:rsidRPr="00C329FB">
              <w:t>Die Lehrkraft nimmt vom eigenen Stärkenkartenstapel eine Stärke nach der a</w:t>
            </w:r>
            <w:r w:rsidRPr="00C329FB">
              <w:t>n</w:t>
            </w:r>
            <w:r w:rsidRPr="00C329FB">
              <w:t>deren und liest sie laut vor. Die Schülerinnen und Schüler drehen die aufgeruf</w:t>
            </w:r>
            <w:r w:rsidRPr="00C329FB">
              <w:t>e</w:t>
            </w:r>
            <w:r w:rsidRPr="00C329FB">
              <w:t>nen Stärken um, wenn sie sie in ihrer Auswahl haben. Sobald jemand drei Karten in einer horizontalen, vertikalen oder diagonalen Reihe umgedreht hat, ruft sie oder er „Bingo!“ und erklärt, warum sie oder er denkt, diese drei Stärken zu b</w:t>
            </w:r>
            <w:r w:rsidRPr="00C329FB">
              <w:t>e</w:t>
            </w:r>
            <w:r w:rsidRPr="00C329FB">
              <w:t>sitzen, z. B. „Ich habe die Stärke ‚Pünktlichkeit’, weil ich dieses Schuljahr noch nie zu spät gekommen bin.“ usw</w:t>
            </w:r>
            <w:proofErr w:type="gramStart"/>
            <w:r w:rsidRPr="00C329FB">
              <w:t>..</w:t>
            </w:r>
            <w:proofErr w:type="gramEnd"/>
            <w:r w:rsidRPr="00C329FB">
              <w:t xml:space="preserve"> Sind die Erklärungen einleuchtend, hat die Schülerin/der Schüler diese Runde gewonnen. Je nach Zeit können mehrere Bi</w:t>
            </w:r>
            <w:r w:rsidRPr="00C329FB">
              <w:t>n</w:t>
            </w:r>
            <w:r w:rsidRPr="00C329FB">
              <w:t>go-Runden gespielt werden.</w:t>
            </w:r>
          </w:p>
        </w:tc>
      </w:tr>
      <w:tr w:rsidR="00697891" w:rsidRPr="00C329FB" w:rsidTr="00487F2F">
        <w:tc>
          <w:tcPr>
            <w:tcW w:w="1951" w:type="dxa"/>
            <w:shd w:val="clear" w:color="auto" w:fill="D9D9D9" w:themeFill="background1" w:themeFillShade="D9"/>
            <w:tcMar>
              <w:top w:w="85" w:type="dxa"/>
              <w:bottom w:w="85" w:type="dxa"/>
            </w:tcMar>
          </w:tcPr>
          <w:p w:rsidR="00697891" w:rsidRPr="00C329FB" w:rsidRDefault="00697891" w:rsidP="00487F2F">
            <w:pPr>
              <w:pStyle w:val="Tabelle-9pt-Kapital-fett"/>
            </w:pPr>
            <w:r w:rsidRPr="00C329FB">
              <w:lastRenderedPageBreak/>
              <w:t>Autorin:</w:t>
            </w:r>
          </w:p>
        </w:tc>
        <w:tc>
          <w:tcPr>
            <w:tcW w:w="7405" w:type="dxa"/>
            <w:tcMar>
              <w:top w:w="85" w:type="dxa"/>
              <w:bottom w:w="85" w:type="dxa"/>
            </w:tcMar>
          </w:tcPr>
          <w:p w:rsidR="00697891" w:rsidRPr="00C329FB" w:rsidRDefault="00697891" w:rsidP="00487F2F">
            <w:pPr>
              <w:pStyle w:val="11pt-FlietextTimeslinksbndig"/>
            </w:pPr>
            <w:r w:rsidRPr="00C329FB">
              <w:t xml:space="preserve">Elisabeth </w:t>
            </w:r>
            <w:proofErr w:type="spellStart"/>
            <w:r w:rsidRPr="00C329FB">
              <w:t>Yupanqui</w:t>
            </w:r>
            <w:proofErr w:type="spellEnd"/>
            <w:r w:rsidRPr="00C329FB">
              <w:t xml:space="preserve"> Werner, Projektleiterin Stärkenorientierte Kompetenzförd</w:t>
            </w:r>
            <w:r w:rsidRPr="00C329FB">
              <w:t>e</w:t>
            </w:r>
            <w:r w:rsidRPr="00C329FB">
              <w:t xml:space="preserve">rung im Auftrag des </w:t>
            </w:r>
            <w:proofErr w:type="spellStart"/>
            <w:r w:rsidRPr="00C329FB">
              <w:t>KJR</w:t>
            </w:r>
            <w:proofErr w:type="spellEnd"/>
            <w:r w:rsidRPr="00C329FB">
              <w:t xml:space="preserve"> Esslingen e.V. für das Projektbüro Kompetenzanalyse - Ministerium für Kultus, Jugend und Sport, Baden-Württemberg</w:t>
            </w:r>
          </w:p>
        </w:tc>
      </w:tr>
      <w:tr w:rsidR="00697891" w:rsidRPr="00C329FB" w:rsidTr="00487F2F">
        <w:tc>
          <w:tcPr>
            <w:tcW w:w="1951" w:type="dxa"/>
            <w:shd w:val="clear" w:color="auto" w:fill="D9D9D9" w:themeFill="background1" w:themeFillShade="D9"/>
            <w:tcMar>
              <w:top w:w="85" w:type="dxa"/>
              <w:bottom w:w="85" w:type="dxa"/>
            </w:tcMar>
          </w:tcPr>
          <w:p w:rsidR="00697891" w:rsidRPr="00C329FB" w:rsidRDefault="00697891" w:rsidP="00487F2F">
            <w:pPr>
              <w:pStyle w:val="Tabelle-9pt-Kapital-fett"/>
            </w:pPr>
            <w:r w:rsidRPr="00C329FB">
              <w:t>Quellen:</w:t>
            </w:r>
          </w:p>
        </w:tc>
        <w:tc>
          <w:tcPr>
            <w:tcW w:w="7405" w:type="dxa"/>
            <w:tcMar>
              <w:top w:w="85" w:type="dxa"/>
              <w:bottom w:w="85" w:type="dxa"/>
            </w:tcMar>
          </w:tcPr>
          <w:p w:rsidR="00697891" w:rsidRPr="00C329FB" w:rsidRDefault="00697891" w:rsidP="00487F2F">
            <w:pPr>
              <w:pStyle w:val="11pt-FlietextTimeslinksbndig"/>
            </w:pPr>
            <w:proofErr w:type="spellStart"/>
            <w:r w:rsidRPr="00C329FB">
              <w:t>KJR</w:t>
            </w:r>
            <w:proofErr w:type="spellEnd"/>
            <w:r w:rsidRPr="00C329FB">
              <w:t xml:space="preserve"> Esslingen e.V.,  Kompetenzwerkstatt - Arbeitsmaterialien und Schulungen; Jugendstiftung Baden-Württemberg (</w:t>
            </w:r>
            <w:proofErr w:type="spellStart"/>
            <w:r w:rsidRPr="00C329FB">
              <w:t>Hg</w:t>
            </w:r>
            <w:proofErr w:type="spellEnd"/>
            <w:r w:rsidRPr="00C329FB">
              <w:t xml:space="preserve">): Set mit 62 Stärkenkarten unter </w:t>
            </w:r>
            <w:r w:rsidRPr="009F729F">
              <w:t>www.jugendstiftung.de/shop</w:t>
            </w:r>
            <w:r w:rsidRPr="00C329FB">
              <w:t xml:space="preserve"> erhältlich.</w:t>
            </w:r>
          </w:p>
        </w:tc>
      </w:tr>
    </w:tbl>
    <w:p w:rsidR="00697891" w:rsidRPr="00C329FB" w:rsidRDefault="00697891" w:rsidP="00697891">
      <w:pPr>
        <w:spacing w:after="0" w:line="240" w:lineRule="auto"/>
        <w:rPr>
          <w:rFonts w:ascii="Times" w:hAnsi="Times"/>
        </w:rPr>
      </w:pPr>
    </w:p>
    <w:p w:rsidR="00CD6932" w:rsidRPr="00697891" w:rsidRDefault="00CD6932" w:rsidP="00697891">
      <w:pPr>
        <w:spacing w:after="0" w:line="240" w:lineRule="auto"/>
        <w:rPr>
          <w:rFonts w:ascii="Times" w:hAnsi="Times"/>
        </w:rPr>
      </w:pPr>
    </w:p>
    <w:sectPr w:rsidR="00CD6932" w:rsidRPr="00697891"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91" w:rsidRDefault="00697891" w:rsidP="001E03DE">
      <w:r>
        <w:separator/>
      </w:r>
    </w:p>
  </w:endnote>
  <w:endnote w:type="continuationSeparator" w:id="0">
    <w:p w:rsidR="00697891" w:rsidRDefault="0069789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91" w:rsidRDefault="00697891" w:rsidP="001E03DE">
      <w:r>
        <w:separator/>
      </w:r>
    </w:p>
  </w:footnote>
  <w:footnote w:type="continuationSeparator" w:id="0">
    <w:p w:rsidR="00697891" w:rsidRDefault="00697891"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A74"/>
    <w:multiLevelType w:val="multilevel"/>
    <w:tmpl w:val="EA34627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CE93E63"/>
    <w:multiLevelType w:val="hybridMultilevel"/>
    <w:tmpl w:val="31D4E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91"/>
    <w:rsid w:val="001A2103"/>
    <w:rsid w:val="001E03DE"/>
    <w:rsid w:val="002223B8"/>
    <w:rsid w:val="00296589"/>
    <w:rsid w:val="0044650F"/>
    <w:rsid w:val="00697891"/>
    <w:rsid w:val="008A7911"/>
    <w:rsid w:val="009533B3"/>
    <w:rsid w:val="009935DA"/>
    <w:rsid w:val="009C05F9"/>
    <w:rsid w:val="00C22DA6"/>
    <w:rsid w:val="00CD6932"/>
    <w:rsid w:val="00F44A67"/>
    <w:rsid w:val="00FF4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891"/>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97891"/>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697891"/>
    <w:pPr>
      <w:spacing w:before="120" w:line="499" w:lineRule="auto"/>
    </w:pPr>
    <w:rPr>
      <w:rFonts w:eastAsia="Calibri" w:cs="Times New Roman"/>
      <w:b/>
      <w:caps/>
      <w:sz w:val="18"/>
    </w:rPr>
  </w:style>
  <w:style w:type="paragraph" w:customStyle="1" w:styleId="11pt-FlietextTimeslinksbndig">
    <w:name w:val="11pt-Fließtext Times linksbündig"/>
    <w:basedOn w:val="Standard"/>
    <w:qFormat/>
    <w:rsid w:val="00697891"/>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697891"/>
    <w:pPr>
      <w:spacing w:after="0" w:line="500" w:lineRule="auto"/>
    </w:pPr>
    <w:rPr>
      <w:rFonts w:ascii="Times" w:eastAsiaTheme="minorEastAsia" w:hAnsi="Times" w:cstheme="minorBidi"/>
      <w:sz w:val="2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891"/>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97891"/>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697891"/>
    <w:pPr>
      <w:spacing w:before="120" w:line="499" w:lineRule="auto"/>
    </w:pPr>
    <w:rPr>
      <w:rFonts w:eastAsia="Calibri" w:cs="Times New Roman"/>
      <w:b/>
      <w:caps/>
      <w:sz w:val="18"/>
    </w:rPr>
  </w:style>
  <w:style w:type="paragraph" w:customStyle="1" w:styleId="11pt-FlietextTimeslinksbndig">
    <w:name w:val="11pt-Fließtext Times linksbündig"/>
    <w:basedOn w:val="Standard"/>
    <w:qFormat/>
    <w:rsid w:val="00697891"/>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697891"/>
    <w:pPr>
      <w:spacing w:after="0" w:line="500" w:lineRule="auto"/>
    </w:pPr>
    <w:rPr>
      <w:rFonts w:ascii="Times" w:eastAsiaTheme="minorEastAsia" w:hAnsi="Times" w:cstheme="minorBidi"/>
      <w:sz w:val="2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2</cp:revision>
  <dcterms:created xsi:type="dcterms:W3CDTF">2014-11-21T14:47:00Z</dcterms:created>
  <dcterms:modified xsi:type="dcterms:W3CDTF">2014-11-21T14:49:00Z</dcterms:modified>
</cp:coreProperties>
</file>