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DD" w:rsidRPr="00A029DD" w:rsidRDefault="005F7FDD" w:rsidP="005F7FDD">
      <w:pPr>
        <w:pStyle w:val="14pt-head-Times"/>
      </w:pPr>
      <w:r w:rsidRPr="00C329FB">
        <w:t xml:space="preserve">„Stärken-Fotos“ </w:t>
      </w:r>
    </w:p>
    <w:tbl>
      <w:tblPr>
        <w:tblStyle w:val="Tabellenraster"/>
        <w:tblW w:w="9356" w:type="dxa"/>
        <w:tblLayout w:type="fixed"/>
        <w:tblCellMar>
          <w:top w:w="57" w:type="dxa"/>
          <w:bottom w:w="85" w:type="dxa"/>
        </w:tblCellMar>
        <w:tblLook w:val="00A0" w:firstRow="1" w:lastRow="0" w:firstColumn="1" w:lastColumn="0" w:noHBand="0" w:noVBand="0"/>
      </w:tblPr>
      <w:tblGrid>
        <w:gridCol w:w="1951"/>
        <w:gridCol w:w="7405"/>
      </w:tblGrid>
      <w:tr w:rsidR="005F7FDD" w:rsidRPr="00C329FB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Tabelle-9pt-Kapital-fett"/>
            </w:pPr>
            <w:r w:rsidRPr="00C329FB">
              <w:t>Überfachliche Kompetenzen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11pt-FlietextTimeslinksbndig"/>
            </w:pPr>
            <w:r w:rsidRPr="00C329FB">
              <w:t>Kreativ-sprachliche Fähigkeit, Teamfähigkeit</w:t>
            </w:r>
          </w:p>
        </w:tc>
      </w:tr>
      <w:tr w:rsidR="005F7FDD" w:rsidRPr="00C329FB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Tabelle-9pt-Kapital-fett"/>
            </w:pPr>
            <w:r w:rsidRPr="00C329FB">
              <w:t>Ziele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Listenabsatz"/>
            </w:pPr>
            <w:r w:rsidRPr="00C329FB">
              <w:t>Kreative Auseinandersetzung mit den Stärkenbegriffen</w:t>
            </w:r>
          </w:p>
          <w:p w:rsidR="005F7FDD" w:rsidRPr="00C329FB" w:rsidRDefault="005F7FDD" w:rsidP="00487F2F">
            <w:pPr>
              <w:pStyle w:val="Listenabsatz"/>
            </w:pPr>
            <w:r w:rsidRPr="00C329FB">
              <w:t>Visuelle Bilder für Stärken finden</w:t>
            </w:r>
          </w:p>
          <w:p w:rsidR="005F7FDD" w:rsidRPr="00C329FB" w:rsidRDefault="005F7FDD" w:rsidP="00487F2F">
            <w:pPr>
              <w:pStyle w:val="Listenabsatz"/>
            </w:pPr>
            <w:r w:rsidRPr="00C329FB">
              <w:t>Stärkebegriffe anhand von selbst gemachten Fotos erraten</w:t>
            </w:r>
          </w:p>
        </w:tc>
      </w:tr>
      <w:tr w:rsidR="005F7FDD" w:rsidRPr="00C329FB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Tabelle-9pt-Kapital-fett"/>
            </w:pPr>
            <w:r w:rsidRPr="00C329FB">
              <w:t>Material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Listenabsatz"/>
            </w:pPr>
            <w:r w:rsidRPr="00C329FB">
              <w:t>Stärkekarten oder Liste mit Stärkenbegriffen</w:t>
            </w:r>
          </w:p>
          <w:p w:rsidR="005F7FDD" w:rsidRPr="00C329FB" w:rsidRDefault="005F7FDD" w:rsidP="00487F2F">
            <w:pPr>
              <w:pStyle w:val="Listenabsatz"/>
            </w:pPr>
            <w:r w:rsidRPr="00C329FB">
              <w:t>Handy mit Fotofunktion oder Digitalkamera</w:t>
            </w:r>
          </w:p>
          <w:p w:rsidR="005F7FDD" w:rsidRPr="00C329FB" w:rsidRDefault="005F7FDD" w:rsidP="00487F2F">
            <w:pPr>
              <w:pStyle w:val="Listenabsatz"/>
            </w:pPr>
            <w:proofErr w:type="spellStart"/>
            <w:r w:rsidRPr="00C329FB">
              <w:t>Beamer</w:t>
            </w:r>
            <w:proofErr w:type="spellEnd"/>
            <w:r w:rsidRPr="00C329FB">
              <w:t xml:space="preserve"> und Laptop zur Präsentation der erstellten Fotos</w:t>
            </w:r>
          </w:p>
        </w:tc>
      </w:tr>
      <w:tr w:rsidR="005F7FDD" w:rsidRPr="00C329FB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Tabelle-9pt-Kapital-fett"/>
            </w:pPr>
            <w:r w:rsidRPr="00C329FB">
              <w:t>Hinweise</w:t>
            </w:r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11pt-FlietextTimeslinksbndig"/>
            </w:pPr>
            <w:r w:rsidRPr="00C329FB">
              <w:rPr>
                <w:b/>
              </w:rPr>
              <w:t>Zeitplanung/Sozialform</w:t>
            </w:r>
            <w:r w:rsidRPr="00C329FB">
              <w:t>: Ca. 45 min, Kleingruppenphase: 20-30 min, Plenum: 20 min – je nach Größe der Klasse.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rPr>
                <w:b/>
              </w:rPr>
              <w:t>Anschlussmethode</w:t>
            </w:r>
            <w:r w:rsidRPr="00C329FB">
              <w:t>: „Stärkenkarten sortieren“, „Stärken-Fotos“, „Stärken und ihre Vorbilder“</w:t>
            </w:r>
          </w:p>
        </w:tc>
      </w:tr>
      <w:tr w:rsidR="005F7FDD" w:rsidRPr="00C329FB" w:rsidTr="00487F2F">
        <w:tc>
          <w:tcPr>
            <w:tcW w:w="195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Tabelle-9pt-Kapital-fett"/>
            </w:pPr>
            <w:proofErr w:type="spellStart"/>
            <w:r w:rsidRPr="00C329FB">
              <w:t>Durchführungs</w:t>
            </w:r>
            <w:r>
              <w:softHyphen/>
            </w:r>
            <w:r w:rsidRPr="00C329FB">
              <w:t>hinweise</w:t>
            </w:r>
            <w:proofErr w:type="spellEnd"/>
          </w:p>
        </w:tc>
        <w:tc>
          <w:tcPr>
            <w:tcW w:w="7405" w:type="dxa"/>
            <w:tcMar>
              <w:top w:w="85" w:type="dxa"/>
              <w:bottom w:w="85" w:type="dxa"/>
            </w:tcMar>
          </w:tcPr>
          <w:p w:rsidR="005F7FDD" w:rsidRPr="00C329FB" w:rsidRDefault="005F7FDD" w:rsidP="00487F2F">
            <w:pPr>
              <w:pStyle w:val="11pt-FlietextTimeslinksbndig"/>
            </w:pPr>
            <w:r w:rsidRPr="00C329FB">
              <w:t>Kurze Einführung und Erklärung der Aufgabenstellung.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t>Die Schülerinnen und Schüler werden in Kleingruppen eingeteilt. Jede Gruppe bekommt drei bis fünf Stärkekarten bzw. Stärkebegriffe, zu welchen sie auf F</w:t>
            </w:r>
            <w:r w:rsidRPr="00C329FB">
              <w:t>o</w:t>
            </w:r>
            <w:r w:rsidRPr="00C329FB">
              <w:t>to-Erkundungstour gehen sollen.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t>Die Gruppen erhalten die Aufgabe, zu jedem Stärkenbegriff zu überlegen, wie sie die jeweilige Stärke in ein bis drei Fotos darstellen können. Da die Restgru</w:t>
            </w:r>
            <w:r w:rsidRPr="00C329FB">
              <w:t>p</w:t>
            </w:r>
            <w:r w:rsidRPr="00C329FB">
              <w:t>pe anhand der gemachten Fotos die jeweilige Stärke erraten muss, kann die j</w:t>
            </w:r>
            <w:r w:rsidRPr="00C329FB">
              <w:t>e</w:t>
            </w:r>
            <w:r w:rsidRPr="00C329FB">
              <w:t>weilige Kleingruppe sich überlegen, wie schwer sie das Erraten machen möchte bzw. ob das erste Foto noch sehr schwer ist und die nächsten Fotos immer einf</w:t>
            </w:r>
            <w:r w:rsidRPr="00C329FB">
              <w:t>a</w:t>
            </w:r>
            <w:r w:rsidRPr="00C329FB">
              <w:t>cher werden.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t>Nach Ablauf der zuvor vereinbarten Zeit kommen alle Gruppen zum Treffpunkt zurück. Die erste Gruppe zeigt die Fotos zu ihrem ersten Stärkenbegriff. Die anderen Teilnehmer/-innen müssen nun erraten, um welche Stärke es sich wohl handelt. Im Anschluss daran führt die zweite Gruppe die Fotos zu ihrem ersten Begriff vor – und so weiter.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t>Es besteht die Möglichkeit, einen kleinen Wettbewerb daraus zu machen: We</w:t>
            </w:r>
            <w:r w:rsidRPr="00C329FB">
              <w:t>l</w:t>
            </w:r>
            <w:r w:rsidRPr="00C329FB">
              <w:t>che Gruppe errät die meisten Stärkenbegriffe anhand von möglichst wenig</w:t>
            </w:r>
            <w:bookmarkStart w:id="0" w:name="_GoBack"/>
            <w:bookmarkEnd w:id="0"/>
            <w:r w:rsidRPr="00C329FB">
              <w:t xml:space="preserve">en </w:t>
            </w:r>
            <w:r w:rsidRPr="00C329FB">
              <w:lastRenderedPageBreak/>
              <w:t>Fotos.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t>Die schönsten Fotos können anschließend entwickelt bzw. gedruckt werden und dann in einer kleinen Ausstellung mit den jeweiligen Stärkenbegriffe im Kla</w:t>
            </w:r>
            <w:r w:rsidRPr="00C329FB">
              <w:t>s</w:t>
            </w:r>
            <w:r w:rsidRPr="00C329FB">
              <w:t>senzimmer aufgehängt werden oder es wird eine gemeinsame Fotocollage bzw. Fotomontage erstellt.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rPr>
                <w:u w:val="single"/>
              </w:rPr>
              <w:t>Variante 1</w:t>
            </w:r>
            <w:r w:rsidRPr="00C329FB">
              <w:t>: Die Schülerinnen und Schüler bekommen die Aufgabe, Fotos von der Stärke bzw. Kompetenz zu machen, die sie im Rahmen der individuellen Förd</w:t>
            </w:r>
            <w:r w:rsidRPr="00C329FB">
              <w:t>e</w:t>
            </w:r>
            <w:r w:rsidRPr="00C329FB">
              <w:t>rung konkret weiterentwickeln möchten. Diese Fotos können dann entweder ebenfalls erraten werden oder jede Schülerin/jeder Schüler gestaltet mit Hilfe der Fotos und kleinen Erklärungen ein Plakat.</w:t>
            </w:r>
          </w:p>
          <w:p w:rsidR="005F7FDD" w:rsidRPr="00C329FB" w:rsidRDefault="005F7FDD" w:rsidP="00487F2F">
            <w:pPr>
              <w:pStyle w:val="11pt-FlietextTimeslinksbndig"/>
            </w:pPr>
            <w:r w:rsidRPr="00C329FB">
              <w:rPr>
                <w:u w:val="single"/>
              </w:rPr>
              <w:t>Variante 2</w:t>
            </w:r>
            <w:r w:rsidRPr="00C329FB">
              <w:t xml:space="preserve">: Es ist ebenfalls möglich, dass die Kleingruppen statt Fotos kleine Handyvideos  zu ausgesuchten Stärkenbegriffen erstellen, die aber z. B. nicht länger als 60 s sein dürfen. </w:t>
            </w:r>
          </w:p>
        </w:tc>
      </w:tr>
      <w:tr w:rsidR="005F7FDD" w:rsidRPr="00C329FB" w:rsidTr="00487F2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5F7FDD" w:rsidRPr="00C329FB" w:rsidRDefault="005F7FDD" w:rsidP="00487F2F">
            <w:pPr>
              <w:pStyle w:val="Tabelle-9pt-Kapital-fett"/>
            </w:pPr>
            <w:r w:rsidRPr="00C329FB">
              <w:lastRenderedPageBreak/>
              <w:t>Autorin:</w:t>
            </w:r>
          </w:p>
        </w:tc>
        <w:tc>
          <w:tcPr>
            <w:tcW w:w="7405" w:type="dxa"/>
          </w:tcPr>
          <w:p w:rsidR="005F7FDD" w:rsidRPr="00C329FB" w:rsidRDefault="005F7FDD" w:rsidP="00487F2F">
            <w:pPr>
              <w:pStyle w:val="11pt-FlietextTimeslinksbndig"/>
            </w:pPr>
            <w:r w:rsidRPr="00C329FB">
              <w:t xml:space="preserve">Elisabeth </w:t>
            </w:r>
            <w:proofErr w:type="spellStart"/>
            <w:r w:rsidRPr="00C329FB">
              <w:t>Yupanqui</w:t>
            </w:r>
            <w:proofErr w:type="spellEnd"/>
            <w:r w:rsidRPr="00C329FB">
              <w:t xml:space="preserve"> Werner, Projektleiterin Stärkenorientierte Kompetenzförd</w:t>
            </w:r>
            <w:r w:rsidRPr="00C329FB">
              <w:t>e</w:t>
            </w:r>
            <w:r w:rsidRPr="00C329FB">
              <w:t xml:space="preserve">rung im Auftrag des </w:t>
            </w:r>
            <w:proofErr w:type="spellStart"/>
            <w:r w:rsidRPr="00C329FB">
              <w:t>KJR</w:t>
            </w:r>
            <w:proofErr w:type="spellEnd"/>
            <w:r w:rsidRPr="00C329FB">
              <w:t xml:space="preserve"> Esslingen e.V. für das Projektbüro Kompetenzanalyse - Ministerium für Kultus, Jugend und Sport, Baden-Württemberg</w:t>
            </w:r>
          </w:p>
        </w:tc>
      </w:tr>
      <w:tr w:rsidR="005F7FDD" w:rsidRPr="00C329FB" w:rsidTr="00487F2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5F7FDD" w:rsidRPr="00C329FB" w:rsidRDefault="005F7FDD" w:rsidP="00487F2F">
            <w:pPr>
              <w:pStyle w:val="Tabelle-9pt-Kapital-fett"/>
            </w:pPr>
            <w:r w:rsidRPr="00C329FB">
              <w:t>Quellen:</w:t>
            </w:r>
          </w:p>
        </w:tc>
        <w:tc>
          <w:tcPr>
            <w:tcW w:w="7405" w:type="dxa"/>
          </w:tcPr>
          <w:p w:rsidR="005F7FDD" w:rsidRPr="00C329FB" w:rsidRDefault="005F7FDD" w:rsidP="00487F2F">
            <w:pPr>
              <w:pStyle w:val="11pt-FlietextTimeslinksbndig"/>
            </w:pPr>
            <w:r w:rsidRPr="00C329FB">
              <w:t>Jugendstiftung Baden-Württemberg (</w:t>
            </w:r>
            <w:proofErr w:type="spellStart"/>
            <w:r w:rsidRPr="00C329FB">
              <w:t>Hg</w:t>
            </w:r>
            <w:proofErr w:type="spellEnd"/>
            <w:r w:rsidRPr="00C329FB">
              <w:t>) (2010): Praxisheft „Stärken erkennen – Kompetenzen entwickeln – Qualifikationen nachweisen“</w:t>
            </w:r>
          </w:p>
        </w:tc>
      </w:tr>
    </w:tbl>
    <w:p w:rsidR="00CD6932" w:rsidRPr="005256A8" w:rsidRDefault="00CD6932" w:rsidP="0044650F">
      <w:pPr>
        <w:rPr>
          <w:rFonts w:ascii="Times" w:eastAsiaTheme="minorEastAsia" w:hAnsi="Times" w:cstheme="minorBidi"/>
          <w:sz w:val="28"/>
          <w:szCs w:val="48"/>
          <w:lang w:eastAsia="de-DE"/>
        </w:rPr>
      </w:pPr>
    </w:p>
    <w:sectPr w:rsidR="00CD6932" w:rsidRPr="005256A8" w:rsidSect="005256A8"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DD" w:rsidRDefault="005F7FDD" w:rsidP="001E03DE">
      <w:r>
        <w:separator/>
      </w:r>
    </w:p>
  </w:endnote>
  <w:endnote w:type="continuationSeparator" w:id="0">
    <w:p w:rsidR="005F7FDD" w:rsidRDefault="005F7FD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DD" w:rsidRDefault="005F7FDD" w:rsidP="001E03DE">
      <w:r>
        <w:separator/>
      </w:r>
    </w:p>
  </w:footnote>
  <w:footnote w:type="continuationSeparator" w:id="0">
    <w:p w:rsidR="005F7FDD" w:rsidRDefault="005F7FD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332E"/>
    <w:multiLevelType w:val="hybridMultilevel"/>
    <w:tmpl w:val="450403AC"/>
    <w:lvl w:ilvl="0" w:tplc="85C4488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D"/>
    <w:rsid w:val="001A2103"/>
    <w:rsid w:val="001E03DE"/>
    <w:rsid w:val="002223B8"/>
    <w:rsid w:val="00296589"/>
    <w:rsid w:val="0044650F"/>
    <w:rsid w:val="005256A8"/>
    <w:rsid w:val="005F7FDD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F7FDD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5F7FDD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styleId="Listenabsatz">
    <w:name w:val="List Paragraph"/>
    <w:basedOn w:val="Standard"/>
    <w:uiPriority w:val="34"/>
    <w:qFormat/>
    <w:rsid w:val="005F7FDD"/>
    <w:pPr>
      <w:numPr>
        <w:numId w:val="1"/>
      </w:numPr>
      <w:spacing w:line="400" w:lineRule="auto"/>
      <w:contextualSpacing/>
    </w:pPr>
    <w:rPr>
      <w:rFonts w:ascii="Times" w:eastAsia="Calibri" w:hAnsi="Times" w:cs="Times New Roman"/>
      <w:sz w:val="22"/>
    </w:rPr>
  </w:style>
  <w:style w:type="paragraph" w:customStyle="1" w:styleId="11pt-FlietextTimeslinksbndig">
    <w:name w:val="11pt-Fließtext Times linksbündig"/>
    <w:basedOn w:val="Standard"/>
    <w:qFormat/>
    <w:rsid w:val="005F7FDD"/>
    <w:pPr>
      <w:tabs>
        <w:tab w:val="left" w:pos="454"/>
        <w:tab w:val="left" w:pos="4536"/>
      </w:tabs>
      <w:spacing w:line="400" w:lineRule="auto"/>
    </w:pPr>
    <w:rPr>
      <w:rFonts w:ascii="Times" w:eastAsia="Calibri" w:hAnsi="Times" w:cs="Times New Roman"/>
      <w:sz w:val="22"/>
    </w:rPr>
  </w:style>
  <w:style w:type="paragraph" w:customStyle="1" w:styleId="14pt-head-Times">
    <w:name w:val="14pt-head-Times"/>
    <w:basedOn w:val="Standard"/>
    <w:qFormat/>
    <w:rsid w:val="005F7FDD"/>
    <w:pPr>
      <w:spacing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F7FDD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9pt-Kapital-fett">
    <w:name w:val="Tabelle-9pt-Kapital-fett"/>
    <w:qFormat/>
    <w:rsid w:val="005F7FDD"/>
    <w:pPr>
      <w:spacing w:before="120" w:line="499" w:lineRule="auto"/>
    </w:pPr>
    <w:rPr>
      <w:rFonts w:eastAsia="Calibri" w:cs="Times New Roman"/>
      <w:b/>
      <w:caps/>
      <w:sz w:val="18"/>
    </w:rPr>
  </w:style>
  <w:style w:type="paragraph" w:styleId="Listenabsatz">
    <w:name w:val="List Paragraph"/>
    <w:basedOn w:val="Standard"/>
    <w:uiPriority w:val="34"/>
    <w:qFormat/>
    <w:rsid w:val="005F7FDD"/>
    <w:pPr>
      <w:numPr>
        <w:numId w:val="1"/>
      </w:numPr>
      <w:spacing w:line="400" w:lineRule="auto"/>
      <w:contextualSpacing/>
    </w:pPr>
    <w:rPr>
      <w:rFonts w:ascii="Times" w:eastAsia="Calibri" w:hAnsi="Times" w:cs="Times New Roman"/>
      <w:sz w:val="22"/>
    </w:rPr>
  </w:style>
  <w:style w:type="paragraph" w:customStyle="1" w:styleId="11pt-FlietextTimeslinksbndig">
    <w:name w:val="11pt-Fließtext Times linksbündig"/>
    <w:basedOn w:val="Standard"/>
    <w:qFormat/>
    <w:rsid w:val="005F7FDD"/>
    <w:pPr>
      <w:tabs>
        <w:tab w:val="left" w:pos="454"/>
        <w:tab w:val="left" w:pos="4536"/>
      </w:tabs>
      <w:spacing w:line="400" w:lineRule="auto"/>
    </w:pPr>
    <w:rPr>
      <w:rFonts w:ascii="Times" w:eastAsia="Calibri" w:hAnsi="Times" w:cs="Times New Roman"/>
      <w:sz w:val="22"/>
    </w:rPr>
  </w:style>
  <w:style w:type="paragraph" w:customStyle="1" w:styleId="14pt-head-Times">
    <w:name w:val="14pt-head-Times"/>
    <w:basedOn w:val="Standard"/>
    <w:qFormat/>
    <w:rsid w:val="005F7FDD"/>
    <w:pPr>
      <w:spacing w:line="500" w:lineRule="auto"/>
    </w:pPr>
    <w:rPr>
      <w:rFonts w:ascii="Times" w:eastAsiaTheme="minorEastAsia" w:hAnsi="Times" w:cstheme="minorBidi"/>
      <w:sz w:val="2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8942-D02C-4D29-9E65-DAEFED4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Referat34-1 (KM)</dc:creator>
  <cp:lastModifiedBy>Referat34-1 (KM)</cp:lastModifiedBy>
  <cp:revision>2</cp:revision>
  <dcterms:created xsi:type="dcterms:W3CDTF">2014-11-21T14:42:00Z</dcterms:created>
  <dcterms:modified xsi:type="dcterms:W3CDTF">2014-11-21T14:46:00Z</dcterms:modified>
</cp:coreProperties>
</file>