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24" w:rsidRPr="00C329FB" w:rsidRDefault="00C02A24" w:rsidP="00C02A24">
      <w:pPr>
        <w:pStyle w:val="14pt-head-Times"/>
      </w:pPr>
      <w:r w:rsidRPr="00C329FB">
        <w:t xml:space="preserve">Methode „Ressourcencollage erstellen“ </w:t>
      </w:r>
    </w:p>
    <w:tbl>
      <w:tblPr>
        <w:tblStyle w:val="Tabellenraster"/>
        <w:tblW w:w="9356" w:type="dxa"/>
        <w:tblLayout w:type="fixed"/>
        <w:tblCellMar>
          <w:top w:w="57" w:type="dxa"/>
        </w:tblCellMar>
        <w:tblLook w:val="00A0" w:firstRow="1" w:lastRow="0" w:firstColumn="1" w:lastColumn="0" w:noHBand="0" w:noVBand="0"/>
      </w:tblPr>
      <w:tblGrid>
        <w:gridCol w:w="1951"/>
        <w:gridCol w:w="7405"/>
      </w:tblGrid>
      <w:tr w:rsidR="00C02A24" w:rsidRPr="00C329FB" w:rsidTr="00843A5E">
        <w:tc>
          <w:tcPr>
            <w:tcW w:w="1951" w:type="dxa"/>
            <w:shd w:val="clear" w:color="auto" w:fill="D9D9D9" w:themeFill="background1" w:themeFillShade="D9"/>
            <w:tcMar>
              <w:top w:w="85" w:type="dxa"/>
              <w:bottom w:w="85" w:type="dxa"/>
            </w:tcMar>
          </w:tcPr>
          <w:p w:rsidR="00C02A24" w:rsidRPr="00C329FB" w:rsidRDefault="00C02A24" w:rsidP="00843A5E">
            <w:pPr>
              <w:pStyle w:val="Tabelle-9pt-Kapital-fett"/>
            </w:pPr>
            <w:r w:rsidRPr="00C329FB">
              <w:t>Überfachliche Kompetenzen</w:t>
            </w:r>
          </w:p>
        </w:tc>
        <w:tc>
          <w:tcPr>
            <w:tcW w:w="7405" w:type="dxa"/>
            <w:tcMar>
              <w:top w:w="85" w:type="dxa"/>
              <w:bottom w:w="85" w:type="dxa"/>
            </w:tcMar>
          </w:tcPr>
          <w:p w:rsidR="00C02A24" w:rsidRPr="00C329FB" w:rsidRDefault="00C02A24" w:rsidP="00843A5E">
            <w:pPr>
              <w:pStyle w:val="11pt-FlietextTimeslinksbndig"/>
            </w:pPr>
            <w:r w:rsidRPr="00C329FB">
              <w:t>Konzentrationsfähigkeit, Reflexionsfähigkeit</w:t>
            </w:r>
            <w:r w:rsidRPr="00C329FB">
              <w:rPr>
                <w:b/>
              </w:rPr>
              <w:t xml:space="preserve">, </w:t>
            </w:r>
            <w:r w:rsidRPr="00C329FB">
              <w:t>kreativ-sprachliche Fähigkeit, Kommunikationsfähigkeit, Präsentationsfähigkeit</w:t>
            </w:r>
          </w:p>
        </w:tc>
      </w:tr>
      <w:tr w:rsidR="00C02A24" w:rsidRPr="00C329FB" w:rsidTr="00843A5E">
        <w:tc>
          <w:tcPr>
            <w:tcW w:w="1951" w:type="dxa"/>
            <w:shd w:val="clear" w:color="auto" w:fill="D9D9D9" w:themeFill="background1" w:themeFillShade="D9"/>
            <w:tcMar>
              <w:top w:w="85" w:type="dxa"/>
              <w:bottom w:w="85" w:type="dxa"/>
            </w:tcMar>
          </w:tcPr>
          <w:p w:rsidR="00C02A24" w:rsidRPr="00C329FB" w:rsidRDefault="00C02A24" w:rsidP="00843A5E">
            <w:pPr>
              <w:pStyle w:val="Tabelle-9pt-Kapital-fett"/>
            </w:pPr>
            <w:r w:rsidRPr="00C329FB">
              <w:t>Ziele</w:t>
            </w:r>
          </w:p>
        </w:tc>
        <w:tc>
          <w:tcPr>
            <w:tcW w:w="7405" w:type="dxa"/>
            <w:tcMar>
              <w:top w:w="85" w:type="dxa"/>
              <w:bottom w:w="85" w:type="dxa"/>
            </w:tcMar>
          </w:tcPr>
          <w:p w:rsidR="00C02A24" w:rsidRPr="00C329FB" w:rsidRDefault="00C02A24" w:rsidP="00843A5E">
            <w:pPr>
              <w:pStyle w:val="11pt-FlietextTimeslinksbndig"/>
            </w:pPr>
            <w:r w:rsidRPr="00C329FB">
              <w:t>Auseinandersetzung mit dem Begriff „Ressource“ und den verschiedenen Re</w:t>
            </w:r>
            <w:r w:rsidRPr="00C329FB">
              <w:t>s</w:t>
            </w:r>
            <w:r w:rsidRPr="00C329FB">
              <w:t>sourcenarten,</w:t>
            </w:r>
          </w:p>
          <w:p w:rsidR="00C02A24" w:rsidRPr="00C329FB" w:rsidRDefault="00C02A24" w:rsidP="00843A5E">
            <w:pPr>
              <w:pStyle w:val="11pt-FlietextTimeslinksbndig"/>
            </w:pPr>
            <w:r w:rsidRPr="00C329FB">
              <w:t>differenzierte Reflexion der eigenen Ressourcen der Schülerinnen und Schüler und kreative Umsetzung in Form einer Collage oder Mindmap</w:t>
            </w:r>
          </w:p>
          <w:p w:rsidR="00C02A24" w:rsidRPr="00C329FB" w:rsidRDefault="00C02A24" w:rsidP="00843A5E">
            <w:pPr>
              <w:pStyle w:val="11pt-FlietextTimeslinksbndig"/>
            </w:pPr>
            <w:r w:rsidRPr="00C329FB">
              <w:t>Zusammenhang zwischen den individuellen Ressourcen der Schülerinnen und Schüler und ihren individuellen Förderzielen: Welche Ressourcen spielen bei meiner individuellen Förderung eine Rolle?</w:t>
            </w:r>
          </w:p>
        </w:tc>
      </w:tr>
      <w:tr w:rsidR="00C02A24" w:rsidRPr="00C329FB" w:rsidTr="00843A5E">
        <w:trPr>
          <w:trHeight w:val="344"/>
        </w:trPr>
        <w:tc>
          <w:tcPr>
            <w:tcW w:w="1951" w:type="dxa"/>
            <w:shd w:val="clear" w:color="auto" w:fill="D9D9D9" w:themeFill="background1" w:themeFillShade="D9"/>
            <w:tcMar>
              <w:top w:w="85" w:type="dxa"/>
              <w:bottom w:w="85" w:type="dxa"/>
            </w:tcMar>
          </w:tcPr>
          <w:p w:rsidR="00C02A24" w:rsidRPr="00C329FB" w:rsidRDefault="00C02A24" w:rsidP="00843A5E">
            <w:pPr>
              <w:pStyle w:val="Tabelle-9pt-Kapital-fett"/>
            </w:pPr>
            <w:r w:rsidRPr="00C329FB">
              <w:t>Material</w:t>
            </w:r>
          </w:p>
        </w:tc>
        <w:tc>
          <w:tcPr>
            <w:tcW w:w="7405" w:type="dxa"/>
            <w:tcMar>
              <w:top w:w="85" w:type="dxa"/>
              <w:bottom w:w="85" w:type="dxa"/>
            </w:tcMar>
          </w:tcPr>
          <w:p w:rsidR="00C02A24" w:rsidRPr="00C329FB" w:rsidRDefault="00C02A24" w:rsidP="00843A5E">
            <w:pPr>
              <w:pStyle w:val="11pt-FlietextTimeslinksbndig"/>
            </w:pPr>
            <w:r w:rsidRPr="00C329FB">
              <w:t>DIN-A3- oder Din-A2-Plakate oder Papierbahnen, alte Zeitschriften, Buntstifte, Scheren, Klebstoff</w:t>
            </w:r>
          </w:p>
        </w:tc>
      </w:tr>
      <w:tr w:rsidR="00C02A24" w:rsidRPr="00C329FB" w:rsidTr="00843A5E">
        <w:tc>
          <w:tcPr>
            <w:tcW w:w="1951" w:type="dxa"/>
            <w:shd w:val="clear" w:color="auto" w:fill="D9D9D9" w:themeFill="background1" w:themeFillShade="D9"/>
            <w:tcMar>
              <w:top w:w="85" w:type="dxa"/>
              <w:bottom w:w="85" w:type="dxa"/>
            </w:tcMar>
          </w:tcPr>
          <w:p w:rsidR="00C02A24" w:rsidRPr="00C329FB" w:rsidRDefault="00C02A24" w:rsidP="00843A5E">
            <w:pPr>
              <w:pStyle w:val="Tabelle-9pt-Kapital-fett"/>
            </w:pPr>
            <w:r w:rsidRPr="00C329FB">
              <w:t>Hinweise</w:t>
            </w:r>
          </w:p>
        </w:tc>
        <w:tc>
          <w:tcPr>
            <w:tcW w:w="7405" w:type="dxa"/>
            <w:tcMar>
              <w:top w:w="85" w:type="dxa"/>
              <w:bottom w:w="85" w:type="dxa"/>
            </w:tcMar>
          </w:tcPr>
          <w:p w:rsidR="00C02A24" w:rsidRPr="00C329FB" w:rsidRDefault="00C02A24" w:rsidP="00843A5E">
            <w:pPr>
              <w:pStyle w:val="11pt-FlietextTimeslinksbndig"/>
            </w:pPr>
            <w:r w:rsidRPr="00C329FB">
              <w:rPr>
                <w:b/>
              </w:rPr>
              <w:t>Zeitplanung/Sozialform:</w:t>
            </w:r>
            <w:r w:rsidRPr="00C329FB">
              <w:t xml:space="preserve"> 20 min Einzelarbeit, dann 15-20 min in Kleingruppen (KG) von 3-4 Schüler/-innen oder im Plenum.</w:t>
            </w:r>
          </w:p>
          <w:p w:rsidR="00C02A24" w:rsidRPr="00C329FB" w:rsidRDefault="00C02A24" w:rsidP="00843A5E">
            <w:pPr>
              <w:pStyle w:val="11pt-FlietextTimeslinksbndig"/>
            </w:pPr>
            <w:r w:rsidRPr="00C329FB">
              <w:rPr>
                <w:b/>
              </w:rPr>
              <w:t>Anschlussmethode</w:t>
            </w:r>
            <w:r w:rsidRPr="00C329FB">
              <w:t>: „Stärkenkarten sortieren“, „Stärken-Fotos“, „Stärken-Interview“</w:t>
            </w:r>
          </w:p>
        </w:tc>
      </w:tr>
      <w:tr w:rsidR="00C02A24" w:rsidRPr="00C329FB" w:rsidTr="00843A5E">
        <w:tc>
          <w:tcPr>
            <w:tcW w:w="1951" w:type="dxa"/>
            <w:shd w:val="clear" w:color="auto" w:fill="D9D9D9" w:themeFill="background1" w:themeFillShade="D9"/>
            <w:tcMar>
              <w:top w:w="85" w:type="dxa"/>
              <w:bottom w:w="85" w:type="dxa"/>
            </w:tcMar>
          </w:tcPr>
          <w:p w:rsidR="00C02A24" w:rsidRPr="00C329FB" w:rsidRDefault="00C02A24" w:rsidP="00843A5E">
            <w:pPr>
              <w:pStyle w:val="Tabelle-9pt-Kapital-fett"/>
            </w:pPr>
            <w:proofErr w:type="spellStart"/>
            <w:r w:rsidRPr="00C329FB">
              <w:t>Durchführungs</w:t>
            </w:r>
            <w:r>
              <w:softHyphen/>
            </w:r>
            <w:r w:rsidRPr="00C329FB">
              <w:t>hinweise</w:t>
            </w:r>
            <w:proofErr w:type="spellEnd"/>
          </w:p>
        </w:tc>
        <w:tc>
          <w:tcPr>
            <w:tcW w:w="7405" w:type="dxa"/>
            <w:tcMar>
              <w:top w:w="85" w:type="dxa"/>
              <w:bottom w:w="85" w:type="dxa"/>
            </w:tcMar>
          </w:tcPr>
          <w:p w:rsidR="00C02A24" w:rsidRPr="00454974" w:rsidRDefault="00C02A24" w:rsidP="00843A5E">
            <w:pPr>
              <w:pStyle w:val="Listenabsatz"/>
            </w:pPr>
            <w:r w:rsidRPr="00454974">
              <w:t>Die Lehrperson führt in das Thema „Ressourcen“ ein. An der Tafel we</w:t>
            </w:r>
            <w:r w:rsidRPr="00454974">
              <w:t>r</w:t>
            </w:r>
            <w:r w:rsidRPr="00454974">
              <w:t xml:space="preserve">den zu den drei Ressourcenarten Stichpunkte gesammelt: </w:t>
            </w:r>
          </w:p>
          <w:p w:rsidR="00C02A24" w:rsidRPr="00454974" w:rsidRDefault="00C02A24" w:rsidP="00C02A24">
            <w:pPr>
              <w:pStyle w:val="Listenabsatz"/>
              <w:numPr>
                <w:ilvl w:val="1"/>
                <w:numId w:val="1"/>
              </w:numPr>
            </w:pPr>
            <w:r w:rsidRPr="00454974">
              <w:rPr>
                <w:i/>
              </w:rPr>
              <w:t>Soziale Ressourcen</w:t>
            </w:r>
            <w:r w:rsidRPr="00454974">
              <w:t xml:space="preserve">: Familie, Freunde, soziale Netze, wichtige Menschen, Vorbilder </w:t>
            </w:r>
          </w:p>
          <w:p w:rsidR="00C02A24" w:rsidRPr="00454974" w:rsidRDefault="00C02A24" w:rsidP="00C02A24">
            <w:pPr>
              <w:pStyle w:val="Listenabsatz"/>
              <w:numPr>
                <w:ilvl w:val="1"/>
                <w:numId w:val="1"/>
              </w:numPr>
            </w:pPr>
            <w:r w:rsidRPr="00454974">
              <w:rPr>
                <w:i/>
              </w:rPr>
              <w:t>Materielle Ressourcen</w:t>
            </w:r>
            <w:r w:rsidRPr="00454974">
              <w:t>: Wohnraum, Essen, soziales Sicherung</w:t>
            </w:r>
            <w:r w:rsidRPr="00454974">
              <w:t>s</w:t>
            </w:r>
            <w:r w:rsidRPr="00454974">
              <w:t>system, Geld</w:t>
            </w:r>
          </w:p>
          <w:p w:rsidR="00C02A24" w:rsidRPr="00454974" w:rsidRDefault="00C02A24" w:rsidP="00C02A24">
            <w:pPr>
              <w:pStyle w:val="Listenabsatz"/>
              <w:numPr>
                <w:ilvl w:val="1"/>
                <w:numId w:val="1"/>
              </w:numPr>
            </w:pPr>
            <w:r w:rsidRPr="00454974">
              <w:rPr>
                <w:i/>
              </w:rPr>
              <w:t>Personelle Ressourcen</w:t>
            </w:r>
            <w:r w:rsidRPr="00454974">
              <w:t>: Erfahrungen (Erfolge + bewältigte Kr</w:t>
            </w:r>
            <w:r w:rsidRPr="00454974">
              <w:t>i</w:t>
            </w:r>
            <w:r w:rsidRPr="00454974">
              <w:t xml:space="preserve">sen), Stärken, Zeit, Ziele, Werte, Wissen </w:t>
            </w:r>
          </w:p>
          <w:p w:rsidR="00C02A24" w:rsidRPr="00454974" w:rsidRDefault="00C02A24" w:rsidP="00843A5E">
            <w:pPr>
              <w:pStyle w:val="Listenabsatz"/>
            </w:pPr>
            <w:r w:rsidRPr="00454974">
              <w:t>Je nach Altersgruppe und Reflexionsstand der Klasse bietet es sich an, nur eine bestimmte Anzahl an Ressourcenarten für die Collage herau</w:t>
            </w:r>
            <w:r w:rsidRPr="00454974">
              <w:t>s</w:t>
            </w:r>
            <w:r w:rsidRPr="00454974">
              <w:t>zugreifen. Die personelle Ressource „Erfahrung“ kann auch noch präz</w:t>
            </w:r>
            <w:r w:rsidRPr="00454974">
              <w:t>i</w:t>
            </w:r>
            <w:r w:rsidRPr="00454974">
              <w:t>siert werden in „</w:t>
            </w:r>
            <w:r w:rsidRPr="00454974">
              <w:rPr>
                <w:i/>
                <w:u w:val="single"/>
              </w:rPr>
              <w:t>Das habe ich gemacht/mache ich“</w:t>
            </w:r>
            <w:r w:rsidRPr="00454974">
              <w:t xml:space="preserve"> </w:t>
            </w:r>
            <w:r>
              <w:br/>
            </w:r>
            <w:r w:rsidRPr="00454974">
              <w:t xml:space="preserve">(Interessen, Hobbys, </w:t>
            </w:r>
            <w:proofErr w:type="spellStart"/>
            <w:r w:rsidRPr="00454974">
              <w:t>Engagementformen</w:t>
            </w:r>
            <w:proofErr w:type="spellEnd"/>
            <w:r w:rsidRPr="00454974">
              <w:t xml:space="preserve">, berufliche Tätigkeiten z. B.  </w:t>
            </w:r>
            <w:r w:rsidRPr="00454974">
              <w:lastRenderedPageBreak/>
              <w:t>Nebenjobs) und „</w:t>
            </w:r>
            <w:r w:rsidRPr="00454974">
              <w:rPr>
                <w:i/>
                <w:u w:val="single"/>
              </w:rPr>
              <w:t>Lösungsstrategien"</w:t>
            </w:r>
            <w:r w:rsidRPr="00454974">
              <w:t xml:space="preserve"> (Was hat mir bisher in schwierigen Situationen geholfen diese zu meistern?).</w:t>
            </w:r>
          </w:p>
          <w:p w:rsidR="00C02A24" w:rsidRPr="00C329FB" w:rsidRDefault="00C02A24" w:rsidP="00843A5E">
            <w:pPr>
              <w:pStyle w:val="11pt-FlietextTimeslinksbndig"/>
            </w:pPr>
            <w:r w:rsidRPr="00C329FB">
              <w:t>Jede Schülerin und jeder Schüler nimmt sich nun ein Plakat und erarbeitet en</w:t>
            </w:r>
            <w:r w:rsidRPr="00C329FB">
              <w:t>t</w:t>
            </w:r>
            <w:r w:rsidRPr="00C329FB">
              <w:t>weder eine Mindmap oder eine Collage unter der Überschrift „Meine Ressou</w:t>
            </w:r>
            <w:r w:rsidRPr="00C329FB">
              <w:t>r</w:t>
            </w:r>
            <w:r w:rsidRPr="00C329FB">
              <w:t>cen“. Die Schülerinnen und Schüler können dabei neben Schrift auch kleine Symbole oder ähnliches zeichnen oder aus Zeitschriften entsprechende Fotos oder Schriftzüge ausschneiden und aufkleben.</w:t>
            </w:r>
          </w:p>
          <w:p w:rsidR="00C02A24" w:rsidRPr="00C329FB" w:rsidRDefault="00C02A24" w:rsidP="00843A5E">
            <w:pPr>
              <w:pStyle w:val="11pt-FlietextTimeslinksbndig"/>
            </w:pPr>
            <w:r w:rsidRPr="00C329FB">
              <w:t>Im zweiten Schritt kann nun die Aufgabe gestellt werden, zu überlegen welche Ressourcen bei der Umsetzung des eigenen Förderziels hilfreich sein könnten. Diese Ressourcen können dann noch mal ganz besonders markiert werden.</w:t>
            </w:r>
          </w:p>
          <w:p w:rsidR="00C02A24" w:rsidRPr="00C329FB" w:rsidRDefault="00C02A24" w:rsidP="00843A5E">
            <w:pPr>
              <w:pStyle w:val="11pt-FlietextTimeslinksbndig"/>
            </w:pPr>
            <w:r w:rsidRPr="00C329FB">
              <w:t>Je nach Gruppengröße können sich im Anschluss daran jeweils 3-4 Schülerinnen und Schüler ihre entstandenen Collagen gegenseitig vorstellen oder aber die Co</w:t>
            </w:r>
            <w:r w:rsidRPr="00C329FB">
              <w:t>l</w:t>
            </w:r>
            <w:r w:rsidRPr="00C329FB">
              <w:t>lagen werden im Klassenzimmer aufgehängt und die Schülerinnen und Schüler stellen die wichtigsten Punkte ihrer Arbeit wie in einer Ausstellung vor und pr</w:t>
            </w:r>
            <w:r w:rsidRPr="00C329FB">
              <w:t>ä</w:t>
            </w:r>
            <w:r w:rsidRPr="00C329FB">
              <w:t>sentieren sich mit ihren eigenen Ressourcen.</w:t>
            </w:r>
          </w:p>
        </w:tc>
      </w:tr>
      <w:tr w:rsidR="00C02A24" w:rsidRPr="00C329FB" w:rsidTr="00843A5E">
        <w:tc>
          <w:tcPr>
            <w:tcW w:w="1951" w:type="dxa"/>
            <w:shd w:val="clear" w:color="auto" w:fill="D9D9D9" w:themeFill="background1" w:themeFillShade="D9"/>
            <w:tcMar>
              <w:top w:w="85" w:type="dxa"/>
              <w:bottom w:w="85" w:type="dxa"/>
            </w:tcMar>
          </w:tcPr>
          <w:p w:rsidR="00C02A24" w:rsidRPr="00C329FB" w:rsidRDefault="00C02A24" w:rsidP="00843A5E">
            <w:pPr>
              <w:pStyle w:val="Tabelle-9pt-Kapital-fett"/>
            </w:pPr>
            <w:r w:rsidRPr="00C329FB">
              <w:lastRenderedPageBreak/>
              <w:t>Autorin:</w:t>
            </w:r>
          </w:p>
        </w:tc>
        <w:tc>
          <w:tcPr>
            <w:tcW w:w="7405" w:type="dxa"/>
            <w:tcMar>
              <w:top w:w="85" w:type="dxa"/>
              <w:bottom w:w="85" w:type="dxa"/>
            </w:tcMar>
          </w:tcPr>
          <w:p w:rsidR="00C02A24" w:rsidRPr="00C329FB" w:rsidRDefault="00C02A24" w:rsidP="00843A5E">
            <w:pPr>
              <w:pStyle w:val="11pt-FlietextTimeslinksbndig"/>
            </w:pPr>
            <w:r w:rsidRPr="00C329FB">
              <w:t xml:space="preserve">Elisabeth </w:t>
            </w:r>
            <w:proofErr w:type="spellStart"/>
            <w:r w:rsidRPr="00C329FB">
              <w:t>Yupanqui</w:t>
            </w:r>
            <w:proofErr w:type="spellEnd"/>
            <w:r w:rsidRPr="00C329FB">
              <w:t xml:space="preserve"> Werner, Projektleiterin Stärkenorientierte Kompetenzförd</w:t>
            </w:r>
            <w:r w:rsidRPr="00C329FB">
              <w:t>e</w:t>
            </w:r>
            <w:r w:rsidRPr="00C329FB">
              <w:t xml:space="preserve">rung im Auftrag des </w:t>
            </w:r>
            <w:proofErr w:type="spellStart"/>
            <w:r w:rsidRPr="00C329FB">
              <w:t>KJR</w:t>
            </w:r>
            <w:proofErr w:type="spellEnd"/>
            <w:r w:rsidRPr="00C329FB">
              <w:t xml:space="preserve"> Esslingen e.V. für das Projektbüro Kompetenzanalyse - Ministerium für Kultus, Jugend und Sport, Baden-Württemberg</w:t>
            </w:r>
          </w:p>
        </w:tc>
      </w:tr>
    </w:tbl>
    <w:p w:rsidR="00B049D3" w:rsidRDefault="00B049D3" w:rsidP="00B049D3">
      <w:pPr>
        <w:spacing w:after="0" w:line="240" w:lineRule="auto"/>
        <w:rPr>
          <w:rFonts w:ascii="Times" w:hAnsi="Times"/>
          <w:sz w:val="6"/>
          <w:szCs w:val="6"/>
        </w:rPr>
      </w:pPr>
      <w:bookmarkStart w:id="0" w:name="_GoBack"/>
      <w:bookmarkEnd w:id="0"/>
    </w:p>
    <w:p w:rsidR="00B049D3" w:rsidRPr="00B049D3" w:rsidRDefault="00B049D3" w:rsidP="00B049D3">
      <w:pPr>
        <w:spacing w:after="0" w:line="240" w:lineRule="auto"/>
        <w:rPr>
          <w:rFonts w:ascii="Times" w:hAnsi="Times"/>
          <w:sz w:val="6"/>
          <w:szCs w:val="6"/>
        </w:rPr>
      </w:pPr>
    </w:p>
    <w:sectPr w:rsidR="00B049D3" w:rsidRPr="00B049D3" w:rsidSect="001E03DE">
      <w:footerReference w:type="default" r:id="rId8"/>
      <w:footerReference w:type="first" r:id="rId9"/>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A24" w:rsidRDefault="00C02A24" w:rsidP="001E03DE">
      <w:r>
        <w:separator/>
      </w:r>
    </w:p>
  </w:endnote>
  <w:endnote w:type="continuationSeparator" w:id="0">
    <w:p w:rsidR="00C02A24" w:rsidRDefault="00C02A24"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D3" w:rsidRDefault="00B049D3">
    <w:pPr>
      <w:pStyle w:val="Fuzeile"/>
      <w:jc w:val="right"/>
    </w:pPr>
  </w:p>
  <w:p w:rsidR="00B049D3" w:rsidRDefault="00B049D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D3" w:rsidRDefault="00B049D3" w:rsidP="00C4005B">
    <w:pPr>
      <w:pStyle w:val="Fuzeile"/>
      <w:jc w:val="center"/>
    </w:pPr>
  </w:p>
  <w:p w:rsidR="00472840" w:rsidRDefault="004728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A24" w:rsidRDefault="00C02A24" w:rsidP="001E03DE">
      <w:r>
        <w:separator/>
      </w:r>
    </w:p>
  </w:footnote>
  <w:footnote w:type="continuationSeparator" w:id="0">
    <w:p w:rsidR="00C02A24" w:rsidRDefault="00C02A24" w:rsidP="001E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C332E"/>
    <w:multiLevelType w:val="hybridMultilevel"/>
    <w:tmpl w:val="450403AC"/>
    <w:lvl w:ilvl="0" w:tplc="85C44888">
      <w:start w:val="1"/>
      <w:numFmt w:val="bullet"/>
      <w:pStyle w:val="Listenabsatz"/>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24"/>
    <w:rsid w:val="001A2103"/>
    <w:rsid w:val="001E03DE"/>
    <w:rsid w:val="002223B8"/>
    <w:rsid w:val="00296589"/>
    <w:rsid w:val="0044650F"/>
    <w:rsid w:val="00472840"/>
    <w:rsid w:val="008A7911"/>
    <w:rsid w:val="009533B3"/>
    <w:rsid w:val="009935DA"/>
    <w:rsid w:val="009C05F9"/>
    <w:rsid w:val="00B049D3"/>
    <w:rsid w:val="00C02A24"/>
    <w:rsid w:val="00C22DA6"/>
    <w:rsid w:val="00C4005B"/>
    <w:rsid w:val="00CD6932"/>
    <w:rsid w:val="00D660E7"/>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2A24"/>
    <w:pPr>
      <w:spacing w:after="200"/>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C02A24"/>
    <w:pPr>
      <w:spacing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9pt-Kapital-fett">
    <w:name w:val="Tabelle-9pt-Kapital-fett"/>
    <w:qFormat/>
    <w:rsid w:val="00C02A24"/>
    <w:pPr>
      <w:spacing w:before="120" w:line="499" w:lineRule="auto"/>
    </w:pPr>
    <w:rPr>
      <w:rFonts w:eastAsia="Calibri" w:cs="Times New Roman"/>
      <w:b/>
      <w:caps/>
      <w:sz w:val="18"/>
    </w:rPr>
  </w:style>
  <w:style w:type="paragraph" w:styleId="Listenabsatz">
    <w:name w:val="List Paragraph"/>
    <w:basedOn w:val="Standard"/>
    <w:uiPriority w:val="34"/>
    <w:qFormat/>
    <w:rsid w:val="00C02A24"/>
    <w:pPr>
      <w:numPr>
        <w:numId w:val="1"/>
      </w:numPr>
      <w:spacing w:after="0" w:line="400" w:lineRule="auto"/>
      <w:contextualSpacing/>
    </w:pPr>
    <w:rPr>
      <w:rFonts w:ascii="Times" w:hAnsi="Times"/>
    </w:rPr>
  </w:style>
  <w:style w:type="paragraph" w:customStyle="1" w:styleId="11pt-FlietextTimeslinksbndig">
    <w:name w:val="11pt-Fließtext Times linksbündig"/>
    <w:basedOn w:val="Standard"/>
    <w:qFormat/>
    <w:rsid w:val="00C02A24"/>
    <w:pPr>
      <w:tabs>
        <w:tab w:val="left" w:pos="454"/>
        <w:tab w:val="left" w:pos="4536"/>
      </w:tabs>
      <w:spacing w:after="0" w:line="400" w:lineRule="auto"/>
    </w:pPr>
    <w:rPr>
      <w:rFonts w:ascii="Times" w:hAnsi="Times"/>
    </w:rPr>
  </w:style>
  <w:style w:type="paragraph" w:customStyle="1" w:styleId="14pt-head-Times">
    <w:name w:val="14pt-head-Times"/>
    <w:basedOn w:val="Standard"/>
    <w:qFormat/>
    <w:rsid w:val="00C02A24"/>
    <w:pPr>
      <w:spacing w:after="0" w:line="500" w:lineRule="auto"/>
    </w:pPr>
    <w:rPr>
      <w:rFonts w:ascii="Times" w:eastAsiaTheme="minorEastAsia" w:hAnsi="Times" w:cstheme="minorBidi"/>
      <w:sz w:val="2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2A24"/>
    <w:pPr>
      <w:spacing w:after="200"/>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C02A24"/>
    <w:pPr>
      <w:spacing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9pt-Kapital-fett">
    <w:name w:val="Tabelle-9pt-Kapital-fett"/>
    <w:qFormat/>
    <w:rsid w:val="00C02A24"/>
    <w:pPr>
      <w:spacing w:before="120" w:line="499" w:lineRule="auto"/>
    </w:pPr>
    <w:rPr>
      <w:rFonts w:eastAsia="Calibri" w:cs="Times New Roman"/>
      <w:b/>
      <w:caps/>
      <w:sz w:val="18"/>
    </w:rPr>
  </w:style>
  <w:style w:type="paragraph" w:styleId="Listenabsatz">
    <w:name w:val="List Paragraph"/>
    <w:basedOn w:val="Standard"/>
    <w:uiPriority w:val="34"/>
    <w:qFormat/>
    <w:rsid w:val="00C02A24"/>
    <w:pPr>
      <w:numPr>
        <w:numId w:val="1"/>
      </w:numPr>
      <w:spacing w:after="0" w:line="400" w:lineRule="auto"/>
      <w:contextualSpacing/>
    </w:pPr>
    <w:rPr>
      <w:rFonts w:ascii="Times" w:hAnsi="Times"/>
    </w:rPr>
  </w:style>
  <w:style w:type="paragraph" w:customStyle="1" w:styleId="11pt-FlietextTimeslinksbndig">
    <w:name w:val="11pt-Fließtext Times linksbündig"/>
    <w:basedOn w:val="Standard"/>
    <w:qFormat/>
    <w:rsid w:val="00C02A24"/>
    <w:pPr>
      <w:tabs>
        <w:tab w:val="left" w:pos="454"/>
        <w:tab w:val="left" w:pos="4536"/>
      </w:tabs>
      <w:spacing w:after="0" w:line="400" w:lineRule="auto"/>
    </w:pPr>
    <w:rPr>
      <w:rFonts w:ascii="Times" w:hAnsi="Times"/>
    </w:rPr>
  </w:style>
  <w:style w:type="paragraph" w:customStyle="1" w:styleId="14pt-head-Times">
    <w:name w:val="14pt-head-Times"/>
    <w:basedOn w:val="Standard"/>
    <w:qFormat/>
    <w:rsid w:val="00C02A24"/>
    <w:pPr>
      <w:spacing w:after="0" w:line="500" w:lineRule="auto"/>
    </w:pPr>
    <w:rPr>
      <w:rFonts w:ascii="Times" w:eastAsiaTheme="minorEastAsia" w:hAnsi="Times" w:cstheme="minorBidi"/>
      <w:sz w:val="2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Referat34-1 (KM)</dc:creator>
  <cp:lastModifiedBy>Referat34-1 (KM)</cp:lastModifiedBy>
  <cp:revision>5</cp:revision>
  <dcterms:created xsi:type="dcterms:W3CDTF">2014-11-21T14:33:00Z</dcterms:created>
  <dcterms:modified xsi:type="dcterms:W3CDTF">2014-11-21T15:36:00Z</dcterms:modified>
</cp:coreProperties>
</file>